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bookmarkStart w:id="1" w:name="_GoBack"/>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启源货币</w:t>
      </w:r>
      <w:r>
        <w:rPr>
          <w:rFonts w:hint="eastAsia" w:ascii="楷体" w:hAnsi="楷体" w:eastAsia="楷体"/>
          <w:b/>
          <w:color w:val="auto"/>
          <w:sz w:val="28"/>
          <w:szCs w:val="28"/>
          <w:lang w:val="en-US" w:eastAsia="zh-CN"/>
        </w:rPr>
        <w:t>6</w:t>
      </w:r>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w:t>
      </w:r>
      <w:bookmarkEnd w:id="1"/>
      <w:r>
        <w:rPr>
          <w:rFonts w:hint="eastAsia" w:ascii="楷体" w:hAnsi="楷体" w:eastAsia="楷体"/>
          <w:b/>
          <w:color w:val="auto"/>
          <w:sz w:val="28"/>
          <w:szCs w:val="28"/>
        </w:rPr>
        <w:t>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cs="宋体"/>
          <w:b/>
          <w:kern w:val="0"/>
          <w:sz w:val="28"/>
          <w:szCs w:val="28"/>
        </w:rPr>
      </w:pPr>
      <w:r>
        <w:rPr>
          <w:rFonts w:hint="eastAsia" w:ascii="楷体" w:hAnsi="楷体" w:eastAsia="楷体" w:cs="宋体"/>
          <w:b/>
          <w:kern w:val="0"/>
          <w:sz w:val="28"/>
          <w:szCs w:val="28"/>
        </w:rPr>
        <w:br w:type="page"/>
      </w:r>
    </w:p>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3"/>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2025年10月版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val="en-US"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P</w:t>
            </w:r>
            <w:r>
              <w:rPr>
                <w:rFonts w:hint="default" w:ascii="楷体" w:hAnsi="楷体" w:eastAsia="楷体" w:cs="宋体"/>
                <w:spacing w:val="-2"/>
                <w:sz w:val="18"/>
                <w:szCs w:val="18"/>
                <w:highlight w:val="none"/>
                <w:lang w:val="en-US" w:eastAsia="zh-CN"/>
              </w:rPr>
              <w:t>份额：苏银理财启源货币6号</w:t>
            </w:r>
            <w:r>
              <w:rPr>
                <w:rFonts w:hint="eastAsia" w:ascii="楷体" w:hAnsi="楷体" w:eastAsia="楷体" w:cs="宋体"/>
                <w:spacing w:val="-2"/>
                <w:sz w:val="18"/>
                <w:szCs w:val="18"/>
                <w:highlight w:val="none"/>
                <w:lang w:val="en-US" w:eastAsia="zh-CN"/>
              </w:rPr>
              <w:t>P</w:t>
            </w:r>
            <w:r>
              <w:rPr>
                <w:rFonts w:hint="default" w:ascii="楷体" w:hAnsi="楷体" w:eastAsia="楷体" w:cs="宋体"/>
                <w:spacing w:val="-2"/>
                <w:sz w:val="18"/>
                <w:szCs w:val="18"/>
                <w:highlight w:val="none"/>
                <w:lang w:val="en-US" w:eastAsia="zh-CN"/>
              </w:rPr>
              <w:t>/J09817</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Q</w:t>
            </w:r>
            <w:r>
              <w:rPr>
                <w:rFonts w:hint="default" w:ascii="楷体" w:hAnsi="楷体" w:eastAsia="楷体" w:cs="宋体"/>
                <w:spacing w:val="-2"/>
                <w:sz w:val="18"/>
                <w:szCs w:val="18"/>
                <w:highlight w:val="none"/>
                <w:lang w:val="en-US" w:eastAsia="zh-CN"/>
              </w:rPr>
              <w:t>份额：苏银理财启源货币6号</w:t>
            </w:r>
            <w:r>
              <w:rPr>
                <w:rFonts w:hint="eastAsia" w:ascii="楷体" w:hAnsi="楷体" w:eastAsia="楷体" w:cs="宋体"/>
                <w:spacing w:val="-2"/>
                <w:sz w:val="18"/>
                <w:szCs w:val="18"/>
                <w:highlight w:val="none"/>
                <w:lang w:val="en-US" w:eastAsia="zh-CN"/>
              </w:rPr>
              <w:t>Q</w:t>
            </w:r>
            <w:r>
              <w:rPr>
                <w:rFonts w:hint="default" w:ascii="楷体" w:hAnsi="楷体" w:eastAsia="楷体" w:cs="宋体"/>
                <w:spacing w:val="-2"/>
                <w:sz w:val="18"/>
                <w:szCs w:val="18"/>
                <w:highlight w:val="none"/>
                <w:lang w:val="en-US" w:eastAsia="zh-CN"/>
              </w:rPr>
              <w:t>/J09818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A/B/F/G/H/J/JS/S/K/M/P/Q份额：</w:t>
            </w:r>
            <w:r>
              <w:rPr>
                <w:rFonts w:hint="eastAsia" w:ascii="楷体" w:hAnsi="楷体" w:eastAsia="楷体" w:cs="宋体"/>
                <w:spacing w:val="-2"/>
                <w:sz w:val="18"/>
                <w:szCs w:val="18"/>
                <w:highlight w:val="none"/>
              </w:rPr>
              <w:t>个人和机构</w:t>
            </w:r>
            <w:r>
              <w:rPr>
                <w:rFonts w:hint="eastAsia" w:ascii="楷体" w:hAnsi="楷体" w:eastAsia="楷体" w:cs="宋体"/>
                <w:spacing w:val="-2"/>
                <w:sz w:val="18"/>
                <w:szCs w:val="18"/>
                <w:highlight w:val="none"/>
                <w:lang w:eastAsia="zh-CN"/>
              </w:rPr>
              <w:t>；XN份额：</w:t>
            </w:r>
            <w:r>
              <w:rPr>
                <w:rFonts w:hint="eastAsia" w:ascii="楷体" w:hAnsi="楷体" w:eastAsia="楷体" w:cs="宋体"/>
                <w:spacing w:val="-2"/>
                <w:sz w:val="18"/>
                <w:szCs w:val="18"/>
                <w:highlight w:val="none"/>
                <w:lang w:val="en-US" w:eastAsia="zh-CN"/>
              </w:rPr>
              <w:t>个人和机构（销售机构江苏银行仅限机构投资者购买）。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A/B/F/G/H/J/JS/S/K/M/P/Q份额：0.01元/0.01元的整数倍；XN份额：1万元/1万元的整数倍。</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江苏沛县农村商业银行股份有限公司/江苏扬州农村商业银行股份有限公司/江苏兴化农村商业银行股份有限公司/江苏建湖农村商业银行股份有限公司/连云港东方农村商业银行股份有限公司/江苏灌云农村商业银行股份有限公司/江苏新沂农村商业银行股份有限公司/江苏邳州农村商业银行股份有限公司/江苏海门农村商业银行股份有限公司/江苏赣榆农村商业银行股份有限公司/江苏太仓农村商业银行股份有限公司/苏银理财有限责任公司/江苏如东农村商业银行股份有限公司/江苏宜兴农村商业银行股份有限公司/江苏江都农村商业银行股份有限公司/江苏启东农村商业银行股份有限公司/江苏海安农村商业银行股份有限公司/江苏如皋农村商业银行股份有限公司/江苏溧水农村商业银行股份有限公司/江苏高淳农村商业银行股份有限公司/江苏沭阳农村商业银行股份有限公司/江苏泰兴农村商业银行股份有限公司/江苏射阳农村商业银行股份有限公司/江苏大丰农村商业银行股份有限公司/江苏仪征农村商业银行股份有限公司/江苏句容农村商业银行股份有限公司/江苏高邮农村商业银行股份有限公司/江苏宝应农村商业银行股份有限公司/江苏洪泽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K份额：苏银理财有限责任公司/东莞农村商业银行股份有限公司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M份额：苏银理财有限责任公司/东莞农村商业银行股份有限公司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P份额：苏银理财有限责任公司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Q份额：苏银理财有限责任公司</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9"/>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val="0"/>
          <w:bCs w:val="0"/>
          <w:szCs w:val="21"/>
        </w:rPr>
        <w:t>每个工作日为产品开放日</w:t>
      </w:r>
      <w:r>
        <w:rPr>
          <w:rFonts w:hint="eastAsia" w:ascii="楷体" w:hAnsi="楷体" w:eastAsia="楷体" w:cs="Calibri"/>
          <w:b w:val="0"/>
          <w:bCs w:val="0"/>
          <w:szCs w:val="21"/>
          <w:lang w:eastAsia="zh-CN"/>
        </w:rPr>
        <w:t>（</w:t>
      </w:r>
      <w:r>
        <w:rPr>
          <w:rFonts w:hint="eastAsia" w:ascii="楷体" w:hAnsi="楷体" w:eastAsia="楷体" w:cs="Calibri"/>
          <w:b w:val="0"/>
          <w:bCs w:val="0"/>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T+1日</w:t>
      </w:r>
      <w:r>
        <w:rPr>
          <w:rFonts w:hint="eastAsia" w:ascii="楷体" w:hAnsi="楷体" w:eastAsia="楷体" w:cs="Calibri"/>
          <w:szCs w:val="21"/>
        </w:rPr>
        <w:t>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9"/>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2050"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2051"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2"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5">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2">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7">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0"/>
  </w:num>
  <w:num w:numId="3">
    <w:abstractNumId w:val="19"/>
  </w:num>
  <w:num w:numId="4">
    <w:abstractNumId w:val="6"/>
  </w:num>
  <w:num w:numId="5">
    <w:abstractNumId w:val="16"/>
  </w:num>
  <w:num w:numId="6">
    <w:abstractNumId w:val="11"/>
  </w:num>
  <w:num w:numId="7">
    <w:abstractNumId w:val="3"/>
  </w:num>
  <w:num w:numId="8">
    <w:abstractNumId w:val="2"/>
  </w:num>
  <w:num w:numId="9">
    <w:abstractNumId w:val="8"/>
  </w:num>
  <w:num w:numId="10">
    <w:abstractNumId w:val="22"/>
  </w:num>
  <w:num w:numId="11">
    <w:abstractNumId w:val="4"/>
  </w:num>
  <w:num w:numId="12">
    <w:abstractNumId w:val="20"/>
  </w:num>
  <w:num w:numId="13">
    <w:abstractNumId w:val="12"/>
  </w:num>
  <w:num w:numId="14">
    <w:abstractNumId w:val="10"/>
  </w:num>
  <w:num w:numId="15">
    <w:abstractNumId w:val="7"/>
  </w:num>
  <w:num w:numId="16">
    <w:abstractNumId w:val="13"/>
  </w:num>
  <w:num w:numId="17">
    <w:abstractNumId w:val="17"/>
  </w:num>
  <w:num w:numId="18">
    <w:abstractNumId w:val="9"/>
  </w:num>
  <w:num w:numId="19">
    <w:abstractNumId w:val="24"/>
  </w:num>
  <w:num w:numId="20">
    <w:abstractNumId w:val="1"/>
  </w:num>
  <w:num w:numId="21">
    <w:abstractNumId w:val="23"/>
  </w:num>
  <w:num w:numId="22">
    <w:abstractNumId w:val="15"/>
  </w:num>
  <w:num w:numId="23">
    <w:abstractNumId w:val="21"/>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7B3DFA"/>
    <w:rsid w:val="3E7B3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29"/>
    <w:unhideWhenUsed/>
    <w:qFormat/>
    <w:uiPriority w:val="99"/>
    <w:pPr>
      <w:ind w:left="100" w:leftChars="2500"/>
    </w:pPr>
  </w:style>
  <w:style w:type="paragraph" w:styleId="8">
    <w:name w:val="Balloon Text"/>
    <w:basedOn w:val="1"/>
    <w:link w:val="33"/>
    <w:unhideWhenUsed/>
    <w:qFormat/>
    <w:uiPriority w:val="99"/>
    <w:rPr>
      <w:kern w:val="0"/>
      <w:sz w:val="18"/>
      <w:szCs w:val="18"/>
    </w:rPr>
  </w:style>
  <w:style w:type="paragraph" w:styleId="9">
    <w:name w:val="footer"/>
    <w:basedOn w:val="1"/>
    <w:link w:val="31"/>
    <w:unhideWhenUsed/>
    <w:qFormat/>
    <w:uiPriority w:val="99"/>
    <w:pPr>
      <w:tabs>
        <w:tab w:val="center" w:pos="4153"/>
        <w:tab w:val="right" w:pos="8306"/>
      </w:tabs>
      <w:snapToGrid w:val="0"/>
      <w:jc w:val="left"/>
    </w:pPr>
    <w:rPr>
      <w:kern w:val="0"/>
      <w:sz w:val="18"/>
      <w:szCs w:val="18"/>
    </w:rPr>
  </w:style>
  <w:style w:type="paragraph" w:styleId="10">
    <w:name w:val="header"/>
    <w:basedOn w:val="1"/>
    <w:link w:val="3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link w:val="6"/>
    <w:qFormat/>
    <w:uiPriority w:val="99"/>
    <w:rPr>
      <w:rFonts w:ascii="Times New Roman" w:hAnsi="Times New Roman" w:eastAsia="宋体" w:cs="Times New Roman"/>
    </w:rPr>
  </w:style>
  <w:style w:type="character" w:customStyle="1" w:styleId="23">
    <w:name w:val="标题 3 字符"/>
    <w:link w:val="5"/>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link w:val="2"/>
    <w:qFormat/>
    <w:uiPriority w:val="1"/>
    <w:rPr>
      <w:rFonts w:ascii="宋体" w:hAnsi="Times New Roman" w:eastAsia="宋体" w:cs="Times New Roman"/>
      <w:kern w:val="0"/>
      <w:sz w:val="20"/>
      <w:szCs w:val="21"/>
    </w:rPr>
  </w:style>
  <w:style w:type="character" w:customStyle="1" w:styleId="27">
    <w:name w:val="脚注文本 字符"/>
    <w:link w:val="11"/>
    <w:semiHidden/>
    <w:qFormat/>
    <w:uiPriority w:val="99"/>
    <w:rPr>
      <w:rFonts w:ascii="Times New Roman" w:hAnsi="Times New Roman" w:eastAsia="宋体" w:cs="Times New Roman"/>
      <w:kern w:val="2"/>
      <w:sz w:val="18"/>
      <w:szCs w:val="18"/>
    </w:rPr>
  </w:style>
  <w:style w:type="character" w:customStyle="1" w:styleId="28">
    <w:name w:val="批注主题 字符"/>
    <w:link w:val="14"/>
    <w:semiHidden/>
    <w:qFormat/>
    <w:uiPriority w:val="99"/>
    <w:rPr>
      <w:rFonts w:ascii="Times New Roman" w:hAnsi="Times New Roman" w:eastAsia="宋体" w:cs="Times New Roman"/>
      <w:b/>
      <w:bCs/>
    </w:rPr>
  </w:style>
  <w:style w:type="character" w:customStyle="1" w:styleId="29">
    <w:name w:val="日期 字符"/>
    <w:basedOn w:val="17"/>
    <w:link w:val="7"/>
    <w:semiHidden/>
    <w:qFormat/>
    <w:uiPriority w:val="99"/>
    <w:rPr>
      <w:rFonts w:ascii="Times New Roman" w:hAnsi="Times New Roman" w:eastAsia="宋体" w:cs="Times New Roman"/>
    </w:rPr>
  </w:style>
  <w:style w:type="character" w:customStyle="1" w:styleId="30">
    <w:name w:val="标题 1 字符"/>
    <w:link w:val="3"/>
    <w:qFormat/>
    <w:uiPriority w:val="1"/>
    <w:rPr>
      <w:rFonts w:ascii="黑体" w:hAnsi="Times New Roman" w:eastAsia="黑体" w:cs="Times New Roman"/>
      <w:b/>
      <w:bCs/>
      <w:kern w:val="0"/>
      <w:sz w:val="36"/>
      <w:szCs w:val="36"/>
    </w:rPr>
  </w:style>
  <w:style w:type="character" w:customStyle="1" w:styleId="31">
    <w:name w:val="页脚 字符"/>
    <w:link w:val="9"/>
    <w:qFormat/>
    <w:uiPriority w:val="99"/>
    <w:rPr>
      <w:rFonts w:ascii="Times New Roman" w:hAnsi="Times New Roman" w:eastAsia="宋体" w:cs="Times New Roman"/>
      <w:kern w:val="0"/>
      <w:sz w:val="18"/>
      <w:szCs w:val="18"/>
    </w:rPr>
  </w:style>
  <w:style w:type="character" w:customStyle="1" w:styleId="32">
    <w:name w:val="页眉 字符"/>
    <w:link w:val="10"/>
    <w:qFormat/>
    <w:uiPriority w:val="99"/>
    <w:rPr>
      <w:rFonts w:ascii="Times New Roman" w:hAnsi="Times New Roman" w:eastAsia="宋体" w:cs="Times New Roman"/>
      <w:kern w:val="0"/>
      <w:sz w:val="18"/>
      <w:szCs w:val="18"/>
    </w:rPr>
  </w:style>
  <w:style w:type="character" w:customStyle="1" w:styleId="33">
    <w:name w:val="批注框文本 字符"/>
    <w:link w:val="8"/>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未处理的提及1"/>
    <w:unhideWhenUsed/>
    <w:qFormat/>
    <w:uiPriority w:val="99"/>
    <w:rPr>
      <w:rFonts w:ascii="Times New Roman" w:hAnsi="Times New Roman" w:eastAsia="宋体" w:cs="Times New Roman"/>
      <w:color w:val="605E5C"/>
      <w:shd w:val="clear" w:color="auto" w:fill="E1DFDD"/>
    </w:rPr>
  </w:style>
  <w:style w:type="paragraph" w:customStyle="1" w:styleId="50">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51">
    <w:name w:val="修订1"/>
    <w:semiHidden/>
    <w:qFormat/>
    <w:uiPriority w:val="99"/>
    <w:rPr>
      <w:rFonts w:ascii="Times New Roman" w:hAnsi="Times New Roman" w:eastAsia="宋体" w:cs="Times New Roman"/>
      <w:kern w:val="2"/>
      <w:sz w:val="21"/>
      <w:szCs w:val="22"/>
      <w:lang w:val="en-US" w:eastAsia="zh-CN" w:bidi="ar-SA"/>
    </w:rPr>
  </w:style>
  <w:style w:type="character" w:customStyle="1" w:styleId="52">
    <w:name w:val="脚注文本 Char"/>
    <w:semiHidden/>
    <w:qFormat/>
    <w:uiPriority w:val="99"/>
    <w:rPr>
      <w:rFonts w:ascii="Times New Roman" w:hAnsi="Times New Roman" w:eastAsia="宋体" w:cs="Times New Roman"/>
      <w:kern w:val="2"/>
      <w:sz w:val="18"/>
      <w:szCs w:val="18"/>
    </w:rPr>
  </w:style>
  <w:style w:type="character" w:customStyle="1" w:styleId="53">
    <w:name w:val="markedcontent"/>
    <w:qFormat/>
    <w:uiPriority w:val="0"/>
    <w:rPr>
      <w:rFonts w:ascii="Times New Roman" w:hAnsi="Times New Roman" w:eastAsia="宋体" w:cs="Times New Roman"/>
    </w:rPr>
  </w:style>
  <w:style w:type="character" w:customStyle="1" w:styleId="54">
    <w:name w:val="fontstyle01"/>
    <w:qFormat/>
    <w:uiPriority w:val="0"/>
    <w:rPr>
      <w:rFonts w:hint="eastAsia" w:ascii="宋体" w:hAnsi="宋体" w:eastAsia="宋体" w:cs="Times New Roman"/>
      <w:color w:val="000000"/>
      <w:sz w:val="22"/>
      <w:szCs w:val="22"/>
    </w:rPr>
  </w:style>
  <w:style w:type="character" w:styleId="55">
    <w:name w:val="Placeholder Text"/>
    <w:basedOn w:val="17"/>
    <w:unhideWhenUsed/>
    <w:qFormat/>
    <w:uiPriority w:val="99"/>
    <w:rPr>
      <w:rFonts w:ascii="Times New Roman" w:hAnsi="Times New Roman" w:eastAsia="宋体" w:cs="Times New Roman"/>
      <w:color w:val="808080"/>
    </w:rPr>
  </w:style>
  <w:style w:type="paragraph" w:customStyle="1" w:styleId="56">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57">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58">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59">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30</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2025-10-22T10:15:25Z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