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rPr>
        <w:t xml:space="preserve">  </w:t>
      </w: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”理财产品说明书</w:t>
      </w:r>
    </w:p>
    <w:p>
      <w:pPr>
        <w:jc w:val="center"/>
        <w:outlineLvl w:val="1"/>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w:t>
      </w:r>
      <w:r>
        <w:rPr>
          <w:rFonts w:hint="eastAsia" w:ascii="楷体" w:hAnsi="楷体" w:eastAsia="楷体"/>
          <w:sz w:val="24"/>
          <w:szCs w:val="24"/>
          <w:lang w:val="en-US" w:eastAsia="zh-CN"/>
        </w:rPr>
        <w:t>投资范围</w:t>
      </w:r>
      <w:r>
        <w:rPr>
          <w:rFonts w:hint="eastAsia" w:ascii="楷体" w:hAnsi="楷体" w:eastAsia="楷体"/>
          <w:sz w:val="24"/>
          <w:szCs w:val="24"/>
        </w:rPr>
        <w:t>、风险类型等基本情况，在慎重考虑后自行决定购买与自身风险承受能力和资产管理需求匹配的理财产品。</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
        </w:numPr>
        <w:rPr>
          <w:rFonts w:ascii="楷体" w:hAnsi="楷体" w:eastAsia="楷体"/>
          <w:b/>
          <w:sz w:val="24"/>
          <w:szCs w:val="24"/>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r>
        <w:rPr>
          <w:rFonts w:hint="eastAsia" w:ascii="楷体" w:hAnsi="楷体" w:eastAsia="楷体"/>
          <w:b/>
          <w:sz w:val="24"/>
          <w:szCs w:val="24"/>
          <w:u w:val="single"/>
        </w:rPr>
        <w:t>。</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
        </w:numPr>
        <w:rPr>
          <w:rFonts w:ascii="楷体" w:hAnsi="楷体" w:eastAsia="楷体"/>
          <w:sz w:val="24"/>
          <w:szCs w:val="24"/>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、其他风险等。请仔细阅读《“苏银理财恒源最短持有</w:t>
      </w:r>
      <w:r>
        <w:rPr>
          <w:rFonts w:hint="eastAsia" w:ascii="楷体" w:hAnsi="楷体" w:eastAsia="楷体"/>
          <w:sz w:val="24"/>
          <w:szCs w:val="24"/>
          <w:highlight w:val="none"/>
          <w:lang w:val="en-US" w:eastAsia="zh-CN"/>
        </w:rPr>
        <w:t>7</w:t>
      </w:r>
      <w:r>
        <w:rPr>
          <w:rFonts w:hint="eastAsia" w:ascii="楷体" w:hAnsi="楷体" w:eastAsia="楷体"/>
          <w:sz w:val="24"/>
          <w:szCs w:val="24"/>
          <w:highlight w:val="none"/>
        </w:rPr>
        <w:t>天”理财产品风险揭示书》的“风险揭示”部分</w:t>
      </w:r>
      <w:r>
        <w:rPr>
          <w:rFonts w:hint="eastAsia" w:ascii="楷体" w:hAnsi="楷体" w:eastAsia="楷体"/>
          <w:sz w:val="24"/>
          <w:szCs w:val="24"/>
        </w:rPr>
        <w:t>。</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
        </w:numPr>
        <w:rPr>
          <w:rFonts w:hint="eastAsia" w:ascii="楷体" w:hAnsi="楷体" w:eastAsia="楷体"/>
          <w:b/>
          <w:sz w:val="24"/>
          <w:szCs w:val="24"/>
          <w:highlight w:val="none"/>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sz w:val="24"/>
          <w:szCs w:val="24"/>
          <w:highlight w:val="none"/>
          <w:u w:val="single"/>
        </w:rPr>
        <w:t>。</w:t>
      </w:r>
    </w:p>
    <w:p>
      <w:pPr>
        <w:numPr>
          <w:ilvl w:val="0"/>
          <w:numId w:val="1"/>
        </w:numPr>
        <w:rPr>
          <w:rFonts w:hint="eastAsia" w:ascii="楷体" w:hAnsi="楷体" w:eastAsia="楷体"/>
          <w:sz w:val="24"/>
          <w:szCs w:val="24"/>
          <w:highlight w:val="none"/>
        </w:rPr>
      </w:pPr>
      <w:r>
        <w:rPr>
          <w:rFonts w:hint="eastAsia" w:ascii="楷体" w:hAnsi="楷体" w:eastAsia="楷体"/>
          <w:sz w:val="24"/>
          <w:szCs w:val="24"/>
          <w:highlight w:val="none"/>
        </w:rPr>
        <w:t>为贯彻落实</w:t>
      </w:r>
      <w:r>
        <w:rPr>
          <w:rFonts w:hint="eastAsia" w:ascii="楷体" w:hAnsi="楷体" w:eastAsia="楷体"/>
          <w:sz w:val="24"/>
          <w:szCs w:val="24"/>
          <w:highlight w:val="none"/>
          <w:lang w:val="en-US" w:eastAsia="zh-CN"/>
        </w:rPr>
        <w:t>金融监管总局</w:t>
      </w:r>
      <w:r>
        <w:rPr>
          <w:rFonts w:hint="eastAsia" w:ascii="楷体" w:hAnsi="楷体" w:eastAsia="楷体"/>
          <w:sz w:val="24"/>
          <w:szCs w:val="24"/>
          <w:highlight w:val="none"/>
        </w:rPr>
        <w:t>和银行业理财登记托管中心的要求，苏银理财将向监管机构报送理财产品投资者身份信息、每日交易、持仓等信息。后续</w:t>
      </w:r>
      <w:r>
        <w:rPr>
          <w:rFonts w:hint="eastAsia" w:ascii="楷体" w:hAnsi="楷体" w:eastAsia="楷体"/>
          <w:sz w:val="24"/>
          <w:szCs w:val="24"/>
          <w:highlight w:val="none"/>
          <w:lang w:val="en-US" w:eastAsia="zh-CN"/>
        </w:rPr>
        <w:t>金融监管总局</w:t>
      </w:r>
      <w:r>
        <w:rPr>
          <w:rFonts w:hint="eastAsia" w:ascii="楷体" w:hAnsi="楷体" w:eastAsia="楷体"/>
          <w:sz w:val="24"/>
          <w:szCs w:val="24"/>
          <w:highlight w:val="none"/>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
        </w:numPr>
        <w:rPr>
          <w:rFonts w:ascii="楷体" w:hAnsi="楷体" w:eastAsia="楷体"/>
          <w:sz w:val="24"/>
          <w:szCs w:val="24"/>
        </w:rPr>
      </w:pPr>
      <w:r>
        <w:rPr>
          <w:rFonts w:hint="eastAsia" w:ascii="楷体" w:hAnsi="楷体" w:eastAsia="楷体"/>
          <w:sz w:val="24"/>
          <w:szCs w:val="24"/>
          <w:highlight w:val="none"/>
        </w:rPr>
        <w:t>在购买本理财产品后，投资者应随时关注该理财产品的信息披露情况，及时获取相关信息</w:t>
      </w:r>
      <w:r>
        <w:rPr>
          <w:rFonts w:hint="eastAsia" w:ascii="楷体" w:hAnsi="楷体" w:eastAsia="楷体"/>
          <w:sz w:val="24"/>
          <w:szCs w:val="24"/>
        </w:rPr>
        <w:t>。</w:t>
      </w:r>
    </w:p>
    <w:p>
      <w:pPr>
        <w:numPr>
          <w:ilvl w:val="0"/>
          <w:numId w:val="1"/>
        </w:numPr>
        <w:rPr>
          <w:rFonts w:hint="eastAsia" w:ascii="楷体" w:hAnsi="楷体" w:eastAsia="楷体"/>
          <w:sz w:val="24"/>
          <w:szCs w:val="24"/>
        </w:rPr>
      </w:pPr>
      <w:r>
        <w:rPr>
          <w:rFonts w:hint="eastAsia" w:ascii="楷体" w:hAnsi="楷体" w:eastAsia="楷体"/>
          <w:sz w:val="24"/>
          <w:szCs w:val="24"/>
        </w:rPr>
        <w:t>本理财产品说明书在法律许可的范围内由苏银理财负责解释。</w:t>
      </w:r>
    </w:p>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1"/>
              <w:ind w:left="2"/>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苏银理财恒源</w:t>
            </w:r>
            <w:r>
              <w:rPr>
                <w:rFonts w:hint="eastAsia" w:ascii="楷体" w:hAnsi="楷体" w:eastAsia="楷体" w:cs="宋体"/>
                <w:spacing w:val="-2"/>
                <w:sz w:val="21"/>
                <w:szCs w:val="21"/>
                <w:lang w:eastAsia="zh-CN"/>
              </w:rPr>
              <w:t>最短持有7天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0"/>
              <w:ind w:left="4"/>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Z7003123000112</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lang w:val="en-US" w:eastAsia="zh-CN"/>
              </w:rPr>
            </w:pPr>
            <w:r>
              <w:rPr>
                <w:rFonts w:hint="eastAsia" w:ascii="楷体" w:hAnsi="楷体" w:eastAsia="楷体"/>
                <w:spacing w:val="-2"/>
                <w:sz w:val="21"/>
                <w:szCs w:val="21"/>
                <w:lang w:val="en-US" w:eastAsia="zh-CN"/>
              </w:rPr>
              <w:t>F份额：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spacing w:val="-2"/>
                <w:sz w:val="21"/>
                <w:szCs w:val="21"/>
              </w:rPr>
              <w:t>J02534</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rPr>
            </w:pP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spacing w:val="-2"/>
                <w:sz w:val="21"/>
                <w:szCs w:val="21"/>
              </w:rPr>
              <w:t>J02535</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spacing w:val="-2"/>
                <w:sz w:val="21"/>
                <w:szCs w:val="21"/>
              </w:rPr>
            </w:pPr>
            <w:r>
              <w:rPr>
                <w:rFonts w:hint="eastAsia" w:ascii="楷体" w:hAnsi="楷体" w:eastAsia="楷体" w:cs="宋体"/>
                <w:spacing w:val="-2"/>
                <w:sz w:val="21"/>
                <w:szCs w:val="21"/>
                <w:lang w:val="en-US" w:eastAsia="zh-CN"/>
              </w:rPr>
              <w:t>JS</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苏银理财恒源最短持有7天</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w:t>
            </w:r>
            <w:r>
              <w:rPr>
                <w:rFonts w:hint="eastAsia" w:ascii="楷体" w:hAnsi="楷体" w:eastAsia="楷体"/>
                <w:spacing w:val="-2"/>
                <w:sz w:val="21"/>
                <w:szCs w:val="21"/>
              </w:rPr>
              <w:t>J03369</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w:t>
            </w:r>
            <w:r>
              <w:rPr>
                <w:rFonts w:hint="default" w:ascii="楷体" w:hAnsi="楷体" w:eastAsia="楷体"/>
                <w:spacing w:val="-2"/>
                <w:sz w:val="21"/>
                <w:szCs w:val="21"/>
                <w:lang w:val="en-US" w:eastAsia="zh-CN"/>
              </w:rPr>
              <w:t>苏银理财恒源最短持有7天H/J03542</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spacing w:val="-2"/>
                <w:sz w:val="21"/>
                <w:szCs w:val="21"/>
                <w:lang w:val="en-US" w:eastAsia="zh-CN"/>
              </w:rPr>
            </w:pPr>
            <w:r>
              <w:rPr>
                <w:rFonts w:hint="default" w:ascii="楷体" w:hAnsi="楷体" w:eastAsia="楷体"/>
                <w:spacing w:val="-2"/>
                <w:sz w:val="21"/>
                <w:szCs w:val="21"/>
                <w:lang w:val="en-US" w:eastAsia="zh-CN"/>
              </w:rPr>
              <w:t>芙蓉锦程·优选</w:t>
            </w:r>
            <w:r>
              <w:rPr>
                <w:rFonts w:hint="eastAsia" w:ascii="楷体" w:hAnsi="楷体" w:eastAsia="楷体"/>
                <w:spacing w:val="-2"/>
                <w:sz w:val="21"/>
                <w:szCs w:val="21"/>
                <w:lang w:val="en-US" w:eastAsia="zh-CN"/>
              </w:rPr>
              <w:t>份额：</w:t>
            </w:r>
            <w:r>
              <w:rPr>
                <w:rFonts w:hint="default" w:ascii="楷体" w:hAnsi="楷体" w:eastAsia="楷体"/>
                <w:spacing w:val="-2"/>
                <w:sz w:val="21"/>
                <w:szCs w:val="21"/>
                <w:lang w:val="en-US" w:eastAsia="zh-CN"/>
              </w:rPr>
              <w:t>苏银理财恒源最短持有7</w:t>
            </w:r>
            <w:r>
              <w:rPr>
                <w:rFonts w:hint="eastAsia" w:ascii="楷体" w:hAnsi="楷体" w:eastAsia="楷体"/>
                <w:spacing w:val="-2"/>
                <w:sz w:val="21"/>
                <w:szCs w:val="21"/>
                <w:lang w:val="en-US" w:eastAsia="zh-CN"/>
              </w:rPr>
              <w:t>天（芙蓉锦程·优选）/J03603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4"/>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rPr>
              <w:t>份额最低持有期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理财份额自确认日起最低持有</w:t>
            </w: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w:t>
            </w:r>
            <w:r>
              <w:rPr>
                <w:rFonts w:hint="eastAsia" w:ascii="楷体" w:hAnsi="楷体" w:eastAsia="楷体" w:cs="宋体"/>
                <w:b/>
                <w:spacing w:val="-2"/>
                <w:sz w:val="21"/>
                <w:szCs w:val="21"/>
                <w:u w:val="single"/>
                <w:lang w:val="en-US" w:eastAsia="zh-CN"/>
              </w:rPr>
              <w:t>7</w:t>
            </w:r>
            <w:r>
              <w:rPr>
                <w:rFonts w:hint="eastAsia" w:ascii="楷体" w:hAnsi="楷体" w:eastAsia="楷体" w:cs="宋体"/>
                <w:b/>
                <w:spacing w:val="-2"/>
                <w:sz w:val="21"/>
                <w:szCs w:val="21"/>
                <w:u w:val="single"/>
              </w:rPr>
              <w:t>天</w:t>
            </w:r>
            <w:r>
              <w:rPr>
                <w:rFonts w:ascii="楷体" w:hAnsi="楷体" w:eastAsia="楷体" w:cs="宋体"/>
                <w:b/>
                <w:spacing w:val="-2"/>
                <w:sz w:val="21"/>
                <w:szCs w:val="21"/>
                <w:u w:val="single"/>
              </w:rPr>
              <w:t>以内不可提出赎回申请。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份额面向个人和机构投资者销售；</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募集币种</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leftChars="0"/>
              <w:jc w:val="both"/>
              <w:rPr>
                <w:rFonts w:hint="eastAsia" w:ascii="楷体" w:hAnsi="楷体" w:eastAsia="楷体" w:cs="宋体"/>
                <w:spacing w:val="-2"/>
                <w:kern w:val="0"/>
                <w:sz w:val="21"/>
                <w:szCs w:val="21"/>
                <w:lang w:val="en-US" w:eastAsia="zh-CN" w:bidi="ar-SA"/>
              </w:rPr>
            </w:pPr>
            <w:r>
              <w:rPr>
                <w:rFonts w:hint="eastAsia" w:ascii="楷体" w:hAnsi="楷体" w:eastAsia="楷体" w:cs="宋体"/>
                <w:b/>
                <w:spacing w:val="-2"/>
                <w:sz w:val="21"/>
                <w:szCs w:val="21"/>
              </w:rPr>
              <w:t>计划发行规模</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初始募集规模</w:t>
            </w:r>
            <w:r>
              <w:rPr>
                <w:rFonts w:hint="eastAsia" w:ascii="楷体" w:hAnsi="楷体" w:eastAsia="楷体" w:cs="宋体"/>
                <w:spacing w:val="-2"/>
                <w:sz w:val="21"/>
                <w:szCs w:val="21"/>
                <w:lang w:val="en-US" w:eastAsia="zh-CN"/>
              </w:rPr>
              <w:t>1亿元。</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产品</w:t>
            </w:r>
            <w:r>
              <w:rPr>
                <w:rFonts w:ascii="楷体" w:hAnsi="楷体" w:eastAsia="楷体" w:cs="宋体"/>
                <w:spacing w:val="-2"/>
                <w:sz w:val="21"/>
                <w:szCs w:val="21"/>
              </w:rPr>
              <w:t>存续期内，产品募集规模上限</w:t>
            </w:r>
            <w:r>
              <w:rPr>
                <w:rFonts w:hint="eastAsia" w:ascii="楷体" w:hAnsi="楷体" w:eastAsia="楷体" w:cs="宋体"/>
                <w:spacing w:val="-2"/>
                <w:sz w:val="21"/>
                <w:szCs w:val="21"/>
              </w:rPr>
              <w:t>1000亿</w:t>
            </w:r>
            <w:r>
              <w:rPr>
                <w:rFonts w:ascii="楷体" w:hAnsi="楷体" w:eastAsia="楷体" w:cs="宋体"/>
                <w:spacing w:val="-2"/>
                <w:sz w:val="21"/>
                <w:szCs w:val="21"/>
              </w:rPr>
              <w:t>元。</w:t>
            </w:r>
            <w:r>
              <w:rPr>
                <w:rFonts w:hint="eastAsia" w:ascii="楷体" w:hAnsi="楷体" w:eastAsia="楷体" w:cs="宋体"/>
                <w:spacing w:val="-2"/>
                <w:sz w:val="21"/>
                <w:szCs w:val="21"/>
              </w:rPr>
              <w:t>苏银理财有权根据投资运作情况，调整产品规模。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F</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G</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JS</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1000</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r>
              <w:rPr>
                <w:rFonts w:hint="eastAsia" w:ascii="楷体" w:hAnsi="楷体" w:eastAsia="楷体"/>
                <w:szCs w:val="21"/>
                <w:lang w:eastAsia="zh-CN"/>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szCs w:val="21"/>
                <w:lang w:val="en-US" w:eastAsia="zh-CN"/>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4"/>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left="2"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ascii="楷体" w:hAnsi="楷体" w:eastAsia="楷体" w:cs="宋体"/>
                <w:spacing w:val="-2"/>
                <w:sz w:val="21"/>
                <w:szCs w:val="21"/>
              </w:rPr>
              <w:t>1</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日</w:t>
            </w:r>
            <w:r>
              <w:rPr>
                <w:rFonts w:hint="eastAsia" w:ascii="楷体" w:hAnsi="楷体" w:eastAsia="楷体" w:cs="宋体"/>
                <w:spacing w:val="-2"/>
                <w:sz w:val="21"/>
                <w:szCs w:val="21"/>
                <w:lang w:val="en-US" w:eastAsia="zh-CN"/>
              </w:rPr>
              <w:t>至</w:t>
            </w: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19</w:t>
            </w:r>
            <w:r>
              <w:rPr>
                <w:rFonts w:hint="eastAsia" w:ascii="楷体" w:hAnsi="楷体" w:eastAsia="楷体" w:cs="宋体"/>
                <w:spacing w:val="-2"/>
                <w:sz w:val="21"/>
                <w:szCs w:val="21"/>
              </w:rPr>
              <w:t>日</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管理人在法律允许的范围内保留延长或提前终止产品募集期的权利。如有变动，</w:t>
            </w:r>
            <w:r>
              <w:rPr>
                <w:rFonts w:hint="eastAsia" w:ascii="楷体" w:hAnsi="楷体" w:eastAsia="楷体" w:cs="宋体"/>
                <w:spacing w:val="-2"/>
                <w:sz w:val="21"/>
                <w:szCs w:val="21"/>
                <w:highlight w:val="none"/>
              </w:rPr>
              <w:t>实际产品募集期以管理人公告或各销售机构设置的募集时间为准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认购份额计算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4"/>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产品成立日</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20</w:t>
            </w:r>
            <w:r>
              <w:rPr>
                <w:rFonts w:hint="eastAsia" w:ascii="楷体" w:hAnsi="楷体" w:eastAsia="楷体" w:cs="宋体"/>
                <w:spacing w:val="-2"/>
                <w:sz w:val="21"/>
                <w:szCs w:val="21"/>
              </w:rPr>
              <w:t>日</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封闭运作期</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产品成立后封闭运作7天</w:t>
            </w:r>
            <w:r>
              <w:rPr>
                <w:rFonts w:ascii="楷体" w:hAnsi="楷体" w:eastAsia="楷体" w:cs="宋体"/>
                <w:spacing w:val="-2"/>
                <w:sz w:val="21"/>
                <w:szCs w:val="21"/>
              </w:rPr>
              <w:t>（</w:t>
            </w:r>
            <w:r>
              <w:rPr>
                <w:rFonts w:hint="eastAsia" w:ascii="楷体" w:hAnsi="楷体" w:eastAsia="楷体" w:cs="宋体"/>
                <w:spacing w:val="-2"/>
                <w:sz w:val="21"/>
                <w:szCs w:val="21"/>
              </w:rPr>
              <w:t>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20</w:t>
            </w:r>
            <w:r>
              <w:rPr>
                <w:rFonts w:hint="eastAsia" w:ascii="楷体" w:hAnsi="楷体" w:eastAsia="楷体" w:cs="宋体"/>
                <w:spacing w:val="-2"/>
                <w:sz w:val="21"/>
                <w:szCs w:val="21"/>
              </w:rPr>
              <w:t>日-20</w:t>
            </w:r>
            <w:r>
              <w:rPr>
                <w:rFonts w:ascii="楷体" w:hAnsi="楷体" w:eastAsia="楷体" w:cs="宋体"/>
                <w:spacing w:val="-2"/>
                <w:sz w:val="21"/>
                <w:szCs w:val="21"/>
              </w:rPr>
              <w:t>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w:t>
            </w:r>
            <w:r>
              <w:rPr>
                <w:rFonts w:ascii="楷体" w:hAnsi="楷体" w:eastAsia="楷体" w:cs="宋体"/>
                <w:spacing w:val="-2"/>
                <w:sz w:val="21"/>
                <w:szCs w:val="21"/>
              </w:rPr>
              <w:t>）</w:t>
            </w:r>
            <w:r>
              <w:rPr>
                <w:rFonts w:hint="eastAsia" w:ascii="楷体" w:hAnsi="楷体" w:eastAsia="楷体" w:cs="宋体"/>
                <w:spacing w:val="-2"/>
                <w:sz w:val="21"/>
                <w:szCs w:val="21"/>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r>
              <w:rPr>
                <w:rFonts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Times New Roman" w:hAnsi="Times New Roman" w:cs="Times New Roman"/>
                <w:kern w:val="0"/>
                <w:sz w:val="24"/>
                <w:szCs w:val="24"/>
                <w:lang w:val="en-US" w:eastAsia="zh-CN" w:bidi="ar-SA"/>
              </w:rPr>
            </w:pPr>
            <w:r>
              <w:rPr>
                <w:rFonts w:hint="eastAsia" w:ascii="楷体" w:hAnsi="楷体" w:eastAsia="楷体" w:cs="宋体"/>
                <w:b/>
                <w:spacing w:val="-2"/>
                <w:sz w:val="21"/>
                <w:szCs w:val="21"/>
              </w:rPr>
              <w:t>产品终止日</w:t>
            </w:r>
          </w:p>
        </w:tc>
        <w:tc>
          <w:tcPr>
            <w:tcW w:w="6614" w:type="dxa"/>
            <w:noWrap w:val="0"/>
            <w:vAlign w:val="top"/>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日。本产品</w:t>
            </w:r>
            <w:r>
              <w:rPr>
                <w:rFonts w:ascii="楷体" w:hAnsi="楷体" w:eastAsia="楷体" w:cs="宋体"/>
                <w:spacing w:val="-2"/>
                <w:sz w:val="21"/>
                <w:szCs w:val="21"/>
              </w:rPr>
              <w:t>存续期</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年</w:t>
            </w:r>
            <w:r>
              <w:rPr>
                <w:rFonts w:ascii="楷体" w:hAnsi="楷体" w:eastAsia="楷体" w:cs="宋体"/>
                <w:spacing w:val="-2"/>
                <w:sz w:val="21"/>
                <w:szCs w:val="21"/>
              </w:rPr>
              <w:t>，但</w:t>
            </w:r>
            <w:r>
              <w:rPr>
                <w:rFonts w:hint="eastAsia" w:ascii="楷体" w:hAnsi="楷体" w:eastAsia="楷体" w:cs="宋体"/>
                <w:spacing w:val="-2"/>
                <w:sz w:val="21"/>
                <w:szCs w:val="21"/>
              </w:rPr>
              <w:t>在符合产品说明书约定的条件下，产品管理人有权提前终止本理财产品，产品到期日受制于提前终止条款。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开放日</w:t>
            </w:r>
          </w:p>
        </w:tc>
        <w:tc>
          <w:tcPr>
            <w:tcW w:w="6614" w:type="dxa"/>
            <w:noWrap w:val="0"/>
            <w:vAlign w:val="top"/>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614" w:type="dxa"/>
            <w:noWrap w:val="0"/>
            <w:vAlign w:val="top"/>
          </w:tcPr>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b/>
                <w:spacing w:val="-2"/>
                <w:sz w:val="21"/>
                <w:szCs w:val="21"/>
              </w:rPr>
            </w:pPr>
            <w:r>
              <w:rPr>
                <w:rFonts w:hint="eastAsia" w:ascii="楷体" w:hAnsi="楷体" w:eastAsia="楷体" w:cs="宋体"/>
                <w:spacing w:val="-2"/>
                <w:sz w:val="21"/>
                <w:szCs w:val="21"/>
              </w:rPr>
              <w:t>本产品封闭运作期结束后，自202</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单一投资者认/申购上限</w:t>
            </w:r>
          </w:p>
        </w:tc>
        <w:tc>
          <w:tcPr>
            <w:tcW w:w="6614" w:type="dxa"/>
            <w:noWrap w:val="0"/>
            <w:vAlign w:val="center"/>
          </w:tcPr>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亿元</w:t>
            </w:r>
            <w:r>
              <w:rPr>
                <w:rFonts w:hint="eastAsia" w:ascii="楷体" w:hAnsi="楷体" w:eastAsia="楷体" w:cs="宋体"/>
                <w:spacing w:val="-2"/>
                <w:sz w:val="21"/>
                <w:szCs w:val="21"/>
              </w:rPr>
              <w:t>。超过单日累计认/申购上限时，</w:t>
            </w:r>
            <w:r>
              <w:rPr>
                <w:rFonts w:hint="eastAsia" w:ascii="楷体" w:hAnsi="楷体" w:eastAsia="楷体" w:cs="宋体"/>
                <w:spacing w:val="-2"/>
                <w:sz w:val="21"/>
                <w:szCs w:val="21"/>
                <w:lang w:eastAsia="zh-CN"/>
              </w:rPr>
              <w:t>管理人有权</w:t>
            </w:r>
            <w:r>
              <w:rPr>
                <w:rFonts w:hint="eastAsia" w:ascii="楷体" w:hAnsi="楷体" w:eastAsia="楷体" w:cs="宋体"/>
                <w:spacing w:val="-2"/>
                <w:sz w:val="21"/>
                <w:szCs w:val="21"/>
              </w:rPr>
              <w:t>拒绝投资者的认/申购申请。产品存续期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w:t>
            </w:r>
            <w:r>
              <w:rPr>
                <w:rFonts w:ascii="楷体" w:hAnsi="楷体" w:eastAsia="楷体" w:cs="宋体"/>
                <w:b/>
                <w:spacing w:val="-2"/>
                <w:sz w:val="21"/>
                <w:szCs w:val="21"/>
              </w:rPr>
              <w:t>赎回</w:t>
            </w:r>
            <w:r>
              <w:rPr>
                <w:rFonts w:hint="eastAsia" w:ascii="楷体" w:hAnsi="楷体" w:eastAsia="楷体" w:cs="宋体"/>
                <w:b/>
                <w:spacing w:val="-2"/>
                <w:sz w:val="21"/>
                <w:szCs w:val="21"/>
              </w:rPr>
              <w:t>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ascii="楷体" w:hAnsi="楷体" w:eastAsia="楷体" w:cs="宋体"/>
                <w:spacing w:val="-2"/>
                <w:sz w:val="21"/>
                <w:szCs w:val="21"/>
              </w:rPr>
              <w:t>1</w:t>
            </w:r>
            <w:r>
              <w:rPr>
                <w:rFonts w:hint="eastAsia" w:ascii="楷体" w:hAnsi="楷体" w:eastAsia="楷体" w:cs="宋体"/>
                <w:spacing w:val="-2"/>
                <w:sz w:val="21"/>
                <w:szCs w:val="21"/>
              </w:rPr>
              <w:t>亿份。超过单日累计</w:t>
            </w:r>
            <w:r>
              <w:rPr>
                <w:rFonts w:ascii="楷体" w:hAnsi="楷体" w:eastAsia="楷体" w:cs="宋体"/>
                <w:spacing w:val="-2"/>
                <w:sz w:val="21"/>
                <w:szCs w:val="21"/>
              </w:rPr>
              <w:t>赎回</w:t>
            </w:r>
            <w:r>
              <w:rPr>
                <w:rFonts w:hint="eastAsia" w:ascii="楷体" w:hAnsi="楷体" w:eastAsia="楷体" w:cs="宋体"/>
                <w:spacing w:val="-2"/>
                <w:sz w:val="21"/>
                <w:szCs w:val="21"/>
              </w:rPr>
              <w:t>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w:t>
            </w:r>
            <w:r>
              <w:rPr>
                <w:rFonts w:ascii="楷体" w:hAnsi="楷体" w:eastAsia="楷体" w:cs="宋体"/>
                <w:spacing w:val="-2"/>
                <w:sz w:val="21"/>
                <w:szCs w:val="21"/>
              </w:rPr>
              <w:t>赎回</w:t>
            </w:r>
            <w:r>
              <w:rPr>
                <w:rFonts w:hint="eastAsia" w:ascii="楷体" w:hAnsi="楷体" w:eastAsia="楷体" w:cs="宋体"/>
                <w:spacing w:val="-2"/>
                <w:sz w:val="21"/>
                <w:szCs w:val="21"/>
              </w:rPr>
              <w:t>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w:t>
            </w:r>
            <w:r>
              <w:rPr>
                <w:rFonts w:ascii="楷体" w:hAnsi="楷体" w:eastAsia="楷体" w:cs="宋体"/>
                <w:spacing w:val="-2"/>
                <w:sz w:val="21"/>
                <w:szCs w:val="21"/>
              </w:rPr>
              <w:t>赎回</w:t>
            </w:r>
            <w:r>
              <w:rPr>
                <w:rFonts w:hint="eastAsia" w:ascii="楷体" w:hAnsi="楷体" w:eastAsia="楷体" w:cs="宋体"/>
                <w:spacing w:val="-2"/>
                <w:sz w:val="21"/>
                <w:szCs w:val="21"/>
              </w:rPr>
              <w:t>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单个</w:t>
            </w:r>
            <w:r>
              <w:rPr>
                <w:rFonts w:ascii="楷体" w:hAnsi="楷体" w:eastAsia="楷体" w:cs="宋体"/>
                <w:b/>
                <w:spacing w:val="-2"/>
                <w:sz w:val="21"/>
                <w:szCs w:val="21"/>
              </w:rPr>
              <w:t>客户</w:t>
            </w:r>
            <w:r>
              <w:rPr>
                <w:rFonts w:hint="eastAsia" w:ascii="楷体" w:hAnsi="楷体" w:eastAsia="楷体" w:cs="宋体"/>
                <w:b/>
                <w:spacing w:val="-2"/>
                <w:sz w:val="21"/>
                <w:szCs w:val="21"/>
                <w:lang w:eastAsia="zh-CN"/>
              </w:rPr>
              <w:t>持有份额</w:t>
            </w:r>
            <w:r>
              <w:rPr>
                <w:rFonts w:ascii="楷体" w:hAnsi="楷体" w:eastAsia="楷体" w:cs="宋体"/>
                <w:b/>
                <w:spacing w:val="-2"/>
                <w:sz w:val="21"/>
                <w:szCs w:val="21"/>
              </w:rPr>
              <w:t>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亿份。</w:t>
            </w:r>
            <w:r>
              <w:rPr>
                <w:rFonts w:hint="eastAsia" w:ascii="楷体" w:hAnsi="楷体" w:eastAsia="楷体" w:cs="宋体"/>
                <w:spacing w:val="-2"/>
                <w:sz w:val="21"/>
                <w:szCs w:val="21"/>
                <w:highlight w:val="none"/>
              </w:rPr>
              <w:t>超过单个客户</w:t>
            </w:r>
            <w:r>
              <w:rPr>
                <w:rFonts w:hint="eastAsia" w:ascii="楷体" w:hAnsi="楷体" w:eastAsia="楷体" w:cs="宋体"/>
                <w:spacing w:val="-2"/>
                <w:sz w:val="21"/>
                <w:szCs w:val="21"/>
                <w:highlight w:val="none"/>
                <w:lang w:eastAsia="zh-CN"/>
              </w:rPr>
              <w:t>持有份额</w:t>
            </w:r>
            <w:r>
              <w:rPr>
                <w:rFonts w:hint="eastAsia" w:ascii="楷体" w:hAnsi="楷体" w:eastAsia="楷体" w:cs="宋体"/>
                <w:spacing w:val="-2"/>
                <w:sz w:val="21"/>
                <w:szCs w:val="21"/>
                <w:highlight w:val="none"/>
              </w:rPr>
              <w:t>上限时，管理人有权拒绝投资者的认/申购申请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产品存续期内管理人有权根据实际情况调整单个客户</w:t>
            </w:r>
            <w:r>
              <w:rPr>
                <w:rFonts w:hint="eastAsia" w:ascii="楷体" w:hAnsi="楷体" w:eastAsia="楷体" w:cs="宋体"/>
                <w:spacing w:val="-2"/>
                <w:sz w:val="21"/>
                <w:szCs w:val="21"/>
                <w:highlight w:val="none"/>
                <w:lang w:eastAsia="zh-CN"/>
              </w:rPr>
              <w:t>持有份额</w:t>
            </w:r>
            <w:r>
              <w:rPr>
                <w:rFonts w:hint="eastAsia" w:ascii="楷体" w:hAnsi="楷体" w:eastAsia="楷体" w:cs="宋体"/>
                <w:spacing w:val="-2"/>
                <w:sz w:val="21"/>
                <w:szCs w:val="21"/>
                <w:highlight w:val="none"/>
              </w:rPr>
              <w:t>上限</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3"/>
              <w:ind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单个客户持有比例上限</w:t>
            </w:r>
          </w:p>
        </w:tc>
        <w:tc>
          <w:tcPr>
            <w:tcW w:w="6614" w:type="dxa"/>
            <w:noWrap w:val="0"/>
            <w:vAlign w:val="center"/>
          </w:tcPr>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lang w:eastAsia="zh-CN"/>
              </w:rPr>
            </w:pPr>
            <w:r>
              <w:rPr>
                <w:rFonts w:hint="eastAsia" w:ascii="楷体" w:hAnsi="楷体" w:eastAsia="楷体" w:cs="宋体"/>
                <w:spacing w:val="-2"/>
                <w:kern w:val="0"/>
                <w:szCs w:val="21"/>
              </w:rPr>
              <w:t>申购时间为7*24小时，工作日1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0前申购T+1确认，1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r>
              <w:rPr>
                <w:rFonts w:hint="eastAsia" w:ascii="楷体" w:hAnsi="楷体" w:eastAsia="楷体" w:cs="宋体"/>
                <w:spacing w:val="-2"/>
                <w:kern w:val="0"/>
                <w:szCs w:val="21"/>
                <w:lang w:eastAsia="zh-CN"/>
              </w:rPr>
              <w:t>。</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w:t>
            </w:r>
            <w:r>
              <w:rPr>
                <w:rFonts w:ascii="楷体" w:hAnsi="楷体" w:eastAsia="楷体" w:cs="宋体"/>
                <w:b/>
                <w:spacing w:val="-2"/>
                <w:sz w:val="21"/>
                <w:szCs w:val="21"/>
              </w:rPr>
              <w:t>申购</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产品单个开放日</w:t>
            </w:r>
            <w:r>
              <w:rPr>
                <w:rFonts w:hint="eastAsia" w:ascii="楷体" w:hAnsi="楷体" w:eastAsia="楷体" w:cs="宋体"/>
                <w:spacing w:val="-2"/>
                <w:kern w:val="0"/>
                <w:szCs w:val="21"/>
                <w:lang w:val="en-US" w:eastAsia="zh-CN"/>
              </w:rPr>
              <w:t>净</w:t>
            </w:r>
            <w:r>
              <w:rPr>
                <w:rFonts w:hint="eastAsia" w:ascii="楷体" w:hAnsi="楷体" w:eastAsia="楷体" w:cs="宋体"/>
                <w:spacing w:val="-2"/>
                <w:kern w:val="0"/>
                <w:szCs w:val="21"/>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jc w:val="both"/>
              <w:rPr>
                <w:rFonts w:hint="eastAsia" w:ascii="楷体" w:hAnsi="楷体" w:eastAsia="楷体" w:cs="宋体"/>
                <w:b/>
                <w:spacing w:val="-2"/>
                <w:sz w:val="21"/>
                <w:szCs w:val="21"/>
              </w:rPr>
            </w:pPr>
            <w:r>
              <w:rPr>
                <w:rFonts w:hint="eastAsia" w:ascii="楷体" w:hAnsi="楷体" w:eastAsia="楷体" w:cs="宋体"/>
                <w:b/>
                <w:spacing w:val="-2"/>
                <w:sz w:val="21"/>
                <w:szCs w:val="21"/>
              </w:rPr>
              <w:t>申购</w:t>
            </w:r>
            <w:r>
              <w:rPr>
                <w:rFonts w:ascii="楷体" w:hAnsi="楷体" w:eastAsia="楷体" w:cs="宋体"/>
                <w:b/>
                <w:spacing w:val="-2"/>
                <w:sz w:val="21"/>
                <w:szCs w:val="21"/>
              </w:rPr>
              <w:t>份额计算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kern w:val="0"/>
                <w:szCs w:val="21"/>
              </w:rPr>
              <w:t>申购份额=申购金额/受理日（T）产品单位净值（四舍五入</w:t>
            </w:r>
            <w:r>
              <w:rPr>
                <w:rFonts w:ascii="楷体" w:hAnsi="楷体" w:eastAsia="楷体" w:cs="宋体"/>
                <w:spacing w:val="-2"/>
                <w:kern w:val="0"/>
                <w:szCs w:val="21"/>
              </w:rPr>
              <w:t>保留</w:t>
            </w:r>
            <w:r>
              <w:rPr>
                <w:rFonts w:hint="eastAsia" w:ascii="楷体" w:hAnsi="楷体" w:eastAsia="楷体" w:cs="宋体"/>
                <w:spacing w:val="-2"/>
                <w:kern w:val="0"/>
                <w:szCs w:val="21"/>
              </w:rPr>
              <w:t>2位</w:t>
            </w:r>
            <w:r>
              <w:rPr>
                <w:rFonts w:ascii="楷体" w:hAnsi="楷体" w:eastAsia="楷体" w:cs="宋体"/>
                <w:spacing w:val="-2"/>
                <w:kern w:val="0"/>
                <w:szCs w:val="21"/>
              </w:rPr>
              <w:t>小数</w:t>
            </w:r>
            <w:r>
              <w:rPr>
                <w:rFonts w:hint="eastAsia" w:ascii="楷体" w:hAnsi="楷体" w:eastAsia="楷体" w:cs="宋体"/>
                <w:spacing w:val="-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kern w:val="0"/>
                <w:szCs w:val="21"/>
              </w:rPr>
            </w:pPr>
            <w:r>
              <w:rPr>
                <w:rFonts w:hint="eastAsia" w:ascii="楷体" w:hAnsi="楷体" w:eastAsia="楷体" w:cs="宋体"/>
                <w:spacing w:val="-2"/>
                <w:szCs w:val="21"/>
              </w:rPr>
              <w:t>份额确认后持有时间超过</w:t>
            </w:r>
            <w:r>
              <w:rPr>
                <w:rFonts w:hint="eastAsia" w:ascii="楷体" w:hAnsi="楷体" w:eastAsia="楷体" w:cs="宋体"/>
                <w:spacing w:val="-2"/>
                <w:szCs w:val="21"/>
                <w:lang w:val="en-US" w:eastAsia="zh-CN"/>
              </w:rPr>
              <w:t>7</w:t>
            </w:r>
            <w:r>
              <w:rPr>
                <w:rFonts w:hint="eastAsia" w:ascii="楷体" w:hAnsi="楷体" w:eastAsia="楷体" w:cs="宋体"/>
                <w:spacing w:val="-2"/>
                <w:szCs w:val="21"/>
              </w:rPr>
              <w:t>个自然日，投资者可自主发起赎回，</w:t>
            </w:r>
            <w:r>
              <w:rPr>
                <w:rFonts w:hint="eastAsia" w:ascii="楷体" w:hAnsi="楷体" w:eastAsia="楷体" w:cs="宋体"/>
                <w:spacing w:val="-2"/>
                <w:kern w:val="0"/>
                <w:szCs w:val="21"/>
              </w:rPr>
              <w:t>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0前赎回T+1确认，1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0后的赎回为预受理，视同下一工作日赎回。赎回按受理日当日单位净值确认兑付金额。</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rPr>
              <w:t>延期</w:t>
            </w:r>
            <w:r>
              <w:rPr>
                <w:rFonts w:hint="eastAsia" w:ascii="楷体" w:hAnsi="楷体" w:eastAsia="楷体" w:cs="宋体"/>
                <w:spacing w:val="-2"/>
                <w:szCs w:val="21"/>
              </w:rPr>
              <w:t>办理</w:t>
            </w:r>
            <w:r>
              <w:rPr>
                <w:rFonts w:ascii="楷体" w:hAnsi="楷体" w:eastAsia="楷体" w:cs="宋体"/>
                <w:spacing w:val="-2"/>
                <w:szCs w:val="21"/>
              </w:rPr>
              <w:t>巨额赎回</w:t>
            </w:r>
            <w:r>
              <w:rPr>
                <w:rFonts w:hint="eastAsia" w:ascii="楷体" w:hAnsi="楷体" w:eastAsia="楷体" w:cs="宋体"/>
                <w:spacing w:val="-2"/>
                <w:szCs w:val="21"/>
              </w:rPr>
              <w:t>等</w:t>
            </w:r>
            <w:r>
              <w:rPr>
                <w:rFonts w:ascii="楷体" w:hAnsi="楷体" w:eastAsia="楷体" w:cs="宋体"/>
                <w:spacing w:val="-2"/>
                <w:szCs w:val="21"/>
              </w:rPr>
              <w:t>措施</w:t>
            </w:r>
            <w:r>
              <w:rPr>
                <w:rFonts w:hint="eastAsia" w:ascii="楷体" w:hAnsi="楷体" w:eastAsia="楷体" w:cs="宋体"/>
                <w:spacing w:val="-2"/>
                <w:szCs w:val="21"/>
              </w:rPr>
              <w:t>，产品管理人将在采取</w:t>
            </w:r>
            <w:r>
              <w:rPr>
                <w:rFonts w:ascii="楷体" w:hAnsi="楷体" w:eastAsia="楷体" w:cs="宋体"/>
                <w:spacing w:val="-2"/>
                <w:szCs w:val="21"/>
              </w:rPr>
              <w:t>相关</w:t>
            </w:r>
            <w:r>
              <w:rPr>
                <w:rFonts w:hint="eastAsia" w:ascii="楷体" w:hAnsi="楷体" w:eastAsia="楷体" w:cs="宋体"/>
                <w:spacing w:val="-2"/>
                <w:szCs w:val="21"/>
              </w:rPr>
              <w:t>措施后3个工作日内进行信息披露。</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2.部分赎回</w:t>
            </w:r>
            <w:r>
              <w:rPr>
                <w:rFonts w:ascii="楷体" w:hAnsi="楷体" w:eastAsia="楷体" w:cs="宋体"/>
                <w:b/>
                <w:spacing w:val="-2"/>
                <w:szCs w:val="21"/>
                <w:u w:val="single"/>
              </w:rPr>
              <w:t>：</w:t>
            </w:r>
            <w:r>
              <w:rPr>
                <w:rFonts w:hint="eastAsia" w:ascii="楷体" w:hAnsi="楷体" w:eastAsia="楷体" w:cs="宋体"/>
                <w:b/>
                <w:spacing w:val="-2"/>
                <w:szCs w:val="21"/>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b/>
                <w:spacing w:val="-2"/>
                <w:szCs w:val="21"/>
                <w:u w:val="single"/>
              </w:rPr>
            </w:pPr>
            <w:r>
              <w:rPr>
                <w:rFonts w:hint="eastAsia" w:ascii="楷体" w:hAnsi="楷体" w:eastAsia="楷体" w:cs="宋体"/>
                <w:b/>
                <w:spacing w:val="-2"/>
                <w:szCs w:val="21"/>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u w:val="single"/>
              </w:rPr>
              <w:t>可</w:t>
            </w:r>
            <w:r>
              <w:rPr>
                <w:rFonts w:hint="eastAsia" w:ascii="楷体" w:hAnsi="楷体" w:eastAsia="楷体" w:cs="宋体"/>
                <w:b/>
                <w:spacing w:val="-2"/>
                <w:szCs w:val="21"/>
                <w:u w:val="single"/>
              </w:rPr>
              <w:t>选择将当日未获受理部分予以撤销（巨额赎回处理方式具体以代销机构展示为准），未选择撤销的赎回申请，产品</w:t>
            </w:r>
            <w:r>
              <w:rPr>
                <w:rFonts w:ascii="楷体" w:hAnsi="楷体" w:eastAsia="楷体" w:cs="宋体"/>
                <w:b/>
                <w:spacing w:val="-2"/>
                <w:szCs w:val="21"/>
                <w:u w:val="single"/>
              </w:rPr>
              <w:t>管理人可以</w:t>
            </w:r>
            <w:r>
              <w:rPr>
                <w:rFonts w:hint="eastAsia" w:ascii="楷体" w:hAnsi="楷体" w:eastAsia="楷体" w:cs="宋体"/>
                <w:b/>
                <w:spacing w:val="-2"/>
                <w:szCs w:val="21"/>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连续</w:t>
            </w:r>
            <w:r>
              <w:rPr>
                <w:rFonts w:ascii="楷体" w:hAnsi="楷体" w:eastAsia="楷体" w:cs="宋体"/>
                <w:b/>
                <w:spacing w:val="-2"/>
                <w:sz w:val="21"/>
                <w:szCs w:val="21"/>
              </w:rPr>
              <w:t>巨额赎回</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单个投资者</w:t>
            </w:r>
            <w:r>
              <w:rPr>
                <w:rFonts w:ascii="楷体" w:hAnsi="楷体" w:eastAsia="楷体" w:cs="宋体"/>
                <w:b/>
                <w:spacing w:val="-2"/>
                <w:sz w:val="21"/>
                <w:szCs w:val="21"/>
              </w:rPr>
              <w:t>赎回限制</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赎回</w:t>
            </w:r>
            <w:r>
              <w:rPr>
                <w:rFonts w:ascii="楷体" w:hAnsi="楷体" w:eastAsia="楷体" w:cs="宋体"/>
                <w:b/>
                <w:spacing w:val="-2"/>
                <w:sz w:val="21"/>
                <w:szCs w:val="21"/>
              </w:rPr>
              <w:t>金额计算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kern w:val="0"/>
                <w:szCs w:val="21"/>
              </w:rPr>
            </w:pPr>
            <w:r>
              <w:rPr>
                <w:rFonts w:hint="eastAsia" w:ascii="楷体" w:hAnsi="楷体" w:eastAsia="楷体" w:cs="宋体"/>
                <w:spacing w:val="-2"/>
                <w:szCs w:val="21"/>
              </w:rPr>
              <w:t>赎回金额=赎回份额*受理日（T）产品单位净值</w:t>
            </w:r>
            <w:r>
              <w:rPr>
                <w:rFonts w:hint="eastAsia" w:ascii="楷体" w:hAnsi="楷体" w:eastAsia="楷体" w:cs="宋体"/>
                <w:spacing w:val="-2"/>
                <w:kern w:val="0"/>
                <w:szCs w:val="21"/>
              </w:rPr>
              <w:t>（四舍五入</w:t>
            </w:r>
            <w:r>
              <w:rPr>
                <w:rFonts w:ascii="楷体" w:hAnsi="楷体" w:eastAsia="楷体" w:cs="宋体"/>
                <w:spacing w:val="-2"/>
                <w:kern w:val="0"/>
                <w:szCs w:val="21"/>
              </w:rPr>
              <w:t>保留</w:t>
            </w:r>
            <w:r>
              <w:rPr>
                <w:rFonts w:hint="eastAsia" w:ascii="楷体" w:hAnsi="楷体" w:eastAsia="楷体" w:cs="宋体"/>
                <w:spacing w:val="-2"/>
                <w:kern w:val="0"/>
                <w:szCs w:val="21"/>
              </w:rPr>
              <w:t>2位</w:t>
            </w:r>
            <w:r>
              <w:rPr>
                <w:rFonts w:ascii="楷体" w:hAnsi="楷体" w:eastAsia="楷体" w:cs="宋体"/>
                <w:spacing w:val="-2"/>
                <w:kern w:val="0"/>
                <w:szCs w:val="21"/>
              </w:rPr>
              <w:t>小数</w:t>
            </w:r>
            <w:r>
              <w:rPr>
                <w:rFonts w:hint="eastAsia" w:ascii="楷体" w:hAnsi="楷体" w:eastAsia="楷体" w:cs="宋体"/>
                <w:spacing w:val="-2"/>
                <w:kern w:val="0"/>
                <w:szCs w:val="21"/>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产品</w:t>
            </w:r>
            <w:r>
              <w:rPr>
                <w:rFonts w:ascii="楷体" w:hAnsi="楷体" w:eastAsia="楷体" w:cs="宋体"/>
                <w:spacing w:val="-2"/>
                <w:szCs w:val="21"/>
              </w:rPr>
              <w:t>的超额业绩报酬</w:t>
            </w:r>
            <w:r>
              <w:rPr>
                <w:rFonts w:hint="eastAsia" w:ascii="楷体" w:hAnsi="楷体" w:eastAsia="楷体" w:cs="宋体"/>
                <w:spacing w:val="-2"/>
                <w:szCs w:val="21"/>
              </w:rPr>
              <w:t>等</w:t>
            </w:r>
            <w:r>
              <w:rPr>
                <w:rFonts w:ascii="楷体" w:hAnsi="楷体" w:eastAsia="楷体" w:cs="宋体"/>
                <w:spacing w:val="-2"/>
                <w:szCs w:val="21"/>
              </w:rPr>
              <w:t>费用（</w:t>
            </w:r>
            <w:r>
              <w:rPr>
                <w:rFonts w:hint="eastAsia" w:ascii="楷体" w:hAnsi="楷体" w:eastAsia="楷体" w:cs="宋体"/>
                <w:spacing w:val="-2"/>
                <w:szCs w:val="21"/>
              </w:rPr>
              <w:t>如有</w:t>
            </w:r>
            <w:r>
              <w:rPr>
                <w:rFonts w:ascii="楷体" w:hAnsi="楷体" w:eastAsia="楷体" w:cs="宋体"/>
                <w:spacing w:val="-2"/>
                <w:szCs w:val="21"/>
              </w:rPr>
              <w:t>）</w:t>
            </w:r>
            <w:r>
              <w:rPr>
                <w:rFonts w:hint="eastAsia" w:ascii="楷体" w:hAnsi="楷体" w:eastAsia="楷体" w:cs="宋体"/>
                <w:spacing w:val="-2"/>
                <w:szCs w:val="21"/>
              </w:rPr>
              <w:t>将从</w:t>
            </w:r>
            <w:r>
              <w:rPr>
                <w:rFonts w:ascii="楷体" w:hAnsi="楷体" w:eastAsia="楷体" w:cs="宋体"/>
                <w:spacing w:val="-2"/>
                <w:szCs w:val="21"/>
              </w:rPr>
              <w:t>赎回金额中扣除</w:t>
            </w:r>
            <w:r>
              <w:rPr>
                <w:rFonts w:hint="eastAsia" w:ascii="楷体" w:hAnsi="楷体" w:eastAsia="楷体" w:cs="宋体"/>
                <w:spacing w:val="-2"/>
                <w:szCs w:val="21"/>
              </w:rPr>
              <w:t>，详见“十一、产品运作”计算示例。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认购/申购资金的清算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w:t>
            </w:r>
            <w:r>
              <w:rPr>
                <w:rFonts w:hint="eastAsia" w:ascii="楷体" w:hAnsi="楷体" w:eastAsia="楷体" w:cs="宋体"/>
                <w:b/>
                <w:spacing w:val="-2"/>
                <w:kern w:val="0"/>
                <w:szCs w:val="21"/>
                <w:highlight w:val="none"/>
                <w:u w:val="single"/>
              </w:rPr>
              <w:t>因投资者资金账户余额不足、司法冻结、不可抗力因素或其他不可归责于苏银理财和销售机构的事由出现，造成扣款失败，认购/申购申请未被确认的，苏银理财和销售机构不承担</w:t>
            </w:r>
            <w:r>
              <w:rPr>
                <w:rFonts w:hint="eastAsia" w:ascii="楷体" w:hAnsi="楷体" w:eastAsia="楷体" w:cs="宋体"/>
                <w:b/>
                <w:spacing w:val="-2"/>
                <w:kern w:val="0"/>
                <w:szCs w:val="21"/>
                <w:highlight w:val="none"/>
                <w:u w:val="single"/>
                <w:lang w:val="en-US" w:eastAsia="zh-CN"/>
              </w:rPr>
              <w:t>相应</w:t>
            </w:r>
            <w:r>
              <w:rPr>
                <w:rFonts w:hint="eastAsia" w:ascii="楷体" w:hAnsi="楷体" w:eastAsia="楷体" w:cs="宋体"/>
                <w:b/>
                <w:spacing w:val="-2"/>
                <w:kern w:val="0"/>
                <w:szCs w:val="21"/>
                <w:highlight w:val="none"/>
                <w:u w:val="single"/>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2"/>
              <w:ind w:left="2"/>
              <w:jc w:val="both"/>
              <w:rPr>
                <w:rFonts w:hint="eastAsia" w:ascii="楷体" w:hAnsi="楷体" w:eastAsia="楷体" w:cs="宋体"/>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0"/>
                <w:szCs w:val="21"/>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jc w:val="both"/>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2"/>
              <w:ind w:left="2"/>
              <w:jc w:val="both"/>
              <w:rPr>
                <w:rFonts w:hint="eastAsia"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F份额：1.40%-2.40%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G份额：1.50%-2.50%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JS份额：1.55%-2.55%</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H份额：1.30%-2.30%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芙蓉锦程·优选份额：1.40%-2.40%</w:t>
            </w:r>
          </w:p>
          <w:p>
            <w:pPr>
              <w:pStyle w:val="32"/>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rPr>
              <w:t>业绩比较基准。）</w:t>
            </w:r>
          </w:p>
          <w:p>
            <w:pPr>
              <w:pStyle w:val="32"/>
              <w:keepNext w:val="0"/>
              <w:keepLines w:val="0"/>
              <w:pageBreakBefore w:val="0"/>
              <w:widowControl w:val="0"/>
              <w:kinsoku/>
              <w:wordWrap/>
              <w:overflowPunct w:val="0"/>
              <w:topLinePunct w:val="0"/>
              <w:autoSpaceDE w:val="0"/>
              <w:autoSpaceDN w:val="0"/>
              <w:bidi w:val="0"/>
              <w:adjustRightInd w:val="0"/>
              <w:snapToGrid/>
              <w:spacing w:line="240" w:lineRule="auto"/>
              <w:ind w:left="63" w:leftChars="30" w:right="63" w:rightChars="30"/>
              <w:jc w:val="both"/>
              <w:textAlignment w:val="auto"/>
              <w:rPr>
                <w:rFonts w:hint="eastAsia" w:ascii="楷体" w:hAnsi="楷体" w:eastAsia="楷体" w:cs="宋体"/>
                <w:spacing w:val="-2"/>
                <w:sz w:val="21"/>
                <w:szCs w:val="21"/>
              </w:rPr>
            </w:pPr>
            <w:r>
              <w:rPr>
                <w:rFonts w:hint="eastAsia" w:ascii="楷体" w:hAnsi="楷体" w:eastAsia="楷体" w:cs="宋体"/>
                <w:b/>
                <w:spacing w:val="-2"/>
                <w:sz w:val="21"/>
                <w:szCs w:val="21"/>
                <w:highlight w:val="none"/>
                <w:u w:val="single"/>
              </w:rPr>
              <w:t>本产品为净值型产品，业绩表现将随市场波动，具有不确定性。业绩比较基准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spacing w:val="-2"/>
                <w:sz w:val="21"/>
                <w:szCs w:val="21"/>
                <w:highlight w:val="none"/>
                <w:u w:val="single"/>
                <w:lang w:eastAsia="zh-CN"/>
              </w:rPr>
              <w:t>，</w:t>
            </w:r>
            <w:r>
              <w:rPr>
                <w:rFonts w:hint="eastAsia" w:ascii="楷体" w:hAnsi="楷体" w:eastAsia="楷体" w:cs="宋体"/>
                <w:b/>
                <w:spacing w:val="-2"/>
                <w:sz w:val="21"/>
                <w:szCs w:val="21"/>
                <w:highlight w:val="none"/>
                <w:u w:val="single"/>
              </w:rPr>
              <w:t>不代表理财产品未来表现，不等于理财产品实际收益，</w:t>
            </w:r>
            <w:r>
              <w:rPr>
                <w:rFonts w:hint="eastAsia" w:ascii="楷体" w:hAnsi="楷体" w:eastAsia="楷体" w:cs="宋体"/>
                <w:b/>
                <w:spacing w:val="-2"/>
                <w:sz w:val="21"/>
                <w:szCs w:val="21"/>
                <w:highlight w:val="none"/>
                <w:u w:val="single"/>
                <w:lang w:val="en-US" w:eastAsia="zh-CN"/>
              </w:rPr>
              <w:t>不构成管理人对产品实际投资收益率的承诺或担保，</w:t>
            </w:r>
            <w:r>
              <w:rPr>
                <w:rFonts w:hint="eastAsia" w:ascii="楷体" w:hAnsi="楷体" w:eastAsia="楷体" w:cs="宋体"/>
                <w:b/>
                <w:spacing w:val="-2"/>
                <w:sz w:val="21"/>
                <w:szCs w:val="21"/>
                <w:highlight w:val="none"/>
                <w:u w:val="single"/>
              </w:rPr>
              <w:t>投资者的实际收益由产品净值表现决定。产品存续期内管理人有权根据市场情况调整业绩比较基准，如有调整以管理人公告为准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jc w:val="both"/>
              <w:rPr>
                <w:rFonts w:ascii="楷体" w:hAnsi="楷体" w:eastAsia="楷体" w:cs="宋体"/>
                <w:b/>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bookmarkStart w:id="0" w:name="_GoBack"/>
            <w:bookmarkEnd w:id="0"/>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F/G/JS份额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H</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4</w:t>
            </w:r>
            <w:r>
              <w:rPr>
                <w:rFonts w:ascii="楷体" w:hAnsi="楷体" w:eastAsia="楷体" w:cs="宋体"/>
                <w:spacing w:val="-2"/>
                <w:szCs w:val="21"/>
              </w:rPr>
              <w:t>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芙蓉锦程·优选份额</w:t>
            </w:r>
            <w:r>
              <w:rPr>
                <w:rFonts w:hint="eastAsia" w:ascii="楷体" w:hAnsi="楷体" w:eastAsia="楷体" w:cs="宋体"/>
                <w:spacing w:val="-2"/>
                <w:szCs w:val="21"/>
              </w:rPr>
              <w:t>0.</w:t>
            </w:r>
            <w:r>
              <w:rPr>
                <w:rFonts w:hint="eastAsia" w:ascii="楷体" w:hAnsi="楷体" w:eastAsia="楷体" w:cs="宋体"/>
                <w:spacing w:val="-2"/>
                <w:szCs w:val="21"/>
                <w:lang w:val="en-US" w:eastAsia="zh-CN"/>
              </w:rPr>
              <w:t>3</w:t>
            </w:r>
            <w:r>
              <w:rPr>
                <w:rFonts w:ascii="楷体" w:hAnsi="楷体" w:eastAsia="楷体" w:cs="宋体"/>
                <w:spacing w:val="-2"/>
                <w:szCs w:val="21"/>
              </w:rPr>
              <w:t>0</w:t>
            </w:r>
            <w:r>
              <w:rPr>
                <w:rFonts w:hint="eastAsia" w:ascii="楷体" w:hAnsi="楷体" w:eastAsia="楷体" w:cs="宋体"/>
                <w:spacing w:val="-2"/>
                <w:szCs w:val="21"/>
              </w:rPr>
              <w:t>%/年；</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rPr>
            </w:pPr>
            <w:r>
              <w:rPr>
                <w:rFonts w:hint="eastAsia" w:ascii="楷体" w:hAnsi="楷体" w:eastAsia="楷体" w:cs="宋体"/>
                <w:spacing w:val="-2"/>
                <w:szCs w:val="21"/>
              </w:rPr>
              <w:t>3．投资管理费率：</w:t>
            </w:r>
            <w:r>
              <w:rPr>
                <w:rFonts w:hint="eastAsia" w:ascii="楷体" w:hAnsi="楷体" w:eastAsia="楷体" w:cs="宋体"/>
                <w:spacing w:val="-2"/>
                <w:szCs w:val="21"/>
                <w:lang w:val="en-US" w:eastAsia="zh-CN"/>
              </w:rPr>
              <w:t>F份额0.70</w:t>
            </w:r>
            <w:r>
              <w:rPr>
                <w:rFonts w:hint="eastAsia" w:ascii="楷体" w:hAnsi="楷体" w:eastAsia="楷体" w:cs="宋体"/>
                <w:spacing w:val="-2"/>
                <w:szCs w:val="21"/>
              </w:rPr>
              <w:t>%/年，</w:t>
            </w:r>
            <w:r>
              <w:rPr>
                <w:rFonts w:hint="eastAsia" w:ascii="楷体" w:hAnsi="楷体" w:eastAsia="楷体" w:cs="宋体"/>
                <w:spacing w:val="-2"/>
                <w:szCs w:val="21"/>
                <w:lang w:val="en-US" w:eastAsia="zh-CN"/>
              </w:rPr>
              <w:t>G份额0.60%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JS</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55</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H</w:t>
            </w:r>
            <w:r>
              <w:rPr>
                <w:rFonts w:hint="eastAsia" w:ascii="楷体" w:hAnsi="楷体" w:eastAsia="楷体" w:cs="宋体"/>
                <w:spacing w:val="-2"/>
                <w:szCs w:val="21"/>
              </w:rPr>
              <w:t>份额0.</w:t>
            </w:r>
            <w:r>
              <w:rPr>
                <w:rFonts w:hint="eastAsia" w:ascii="楷体" w:hAnsi="楷体" w:eastAsia="楷体" w:cs="宋体"/>
                <w:spacing w:val="-2"/>
                <w:szCs w:val="21"/>
                <w:lang w:val="en-US" w:eastAsia="zh-CN"/>
              </w:rPr>
              <w:t>6</w:t>
            </w:r>
            <w:r>
              <w:rPr>
                <w:rFonts w:ascii="楷体" w:hAnsi="楷体" w:eastAsia="楷体" w:cs="宋体"/>
                <w:spacing w:val="-2"/>
                <w:szCs w:val="21"/>
              </w:rPr>
              <w:t>0</w:t>
            </w:r>
            <w:r>
              <w:rPr>
                <w:rFonts w:hint="eastAsia"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芙蓉锦程·优选份额</w:t>
            </w:r>
            <w:r>
              <w:rPr>
                <w:rFonts w:hint="eastAsia" w:ascii="楷体" w:hAnsi="楷体" w:eastAsia="楷体" w:cs="宋体"/>
                <w:spacing w:val="-2"/>
                <w:szCs w:val="21"/>
              </w:rPr>
              <w:t>0.</w:t>
            </w:r>
            <w:r>
              <w:rPr>
                <w:rFonts w:hint="eastAsia" w:ascii="楷体" w:hAnsi="楷体" w:eastAsia="楷体" w:cs="宋体"/>
                <w:spacing w:val="-2"/>
                <w:szCs w:val="21"/>
                <w:lang w:val="en-US" w:eastAsia="zh-CN"/>
              </w:rPr>
              <w:t>6</w:t>
            </w:r>
            <w:r>
              <w:rPr>
                <w:rFonts w:ascii="楷体" w:hAnsi="楷体" w:eastAsia="楷体" w:cs="宋体"/>
                <w:spacing w:val="-2"/>
                <w:szCs w:val="21"/>
              </w:rPr>
              <w:t>0</w:t>
            </w:r>
            <w:r>
              <w:rPr>
                <w:rFonts w:hint="eastAsia" w:ascii="楷体" w:hAnsi="楷体" w:eastAsia="楷体" w:cs="宋体"/>
                <w:spacing w:val="-2"/>
                <w:szCs w:val="21"/>
              </w:rPr>
              <w:t>%/年。</w:t>
            </w:r>
          </w:p>
          <w:p>
            <w:pPr>
              <w:keepNext w:val="0"/>
              <w:keepLines w:val="0"/>
              <w:pageBreakBefore w:val="0"/>
              <w:widowControl w:val="0"/>
              <w:wordWrap/>
              <w:topLinePunct w:val="0"/>
              <w:bidi w:val="0"/>
              <w:snapToGrid/>
              <w:spacing w:line="240" w:lineRule="auto"/>
              <w:ind w:left="63" w:leftChars="30" w:right="63" w:rightChars="30"/>
              <w:jc w:val="both"/>
              <w:textAlignment w:val="auto"/>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各</w:t>
            </w:r>
            <w:r>
              <w:rPr>
                <w:rFonts w:hint="eastAsia" w:ascii="楷体" w:hAnsi="楷体" w:eastAsia="楷体" w:cs="宋体"/>
                <w:b/>
                <w:spacing w:val="-2"/>
                <w:szCs w:val="21"/>
                <w:u w:val="single"/>
              </w:rPr>
              <w:t>份额设置有不同的销售服务率和投资管理费率，</w:t>
            </w:r>
            <w:r>
              <w:rPr>
                <w:rFonts w:hint="eastAsia" w:ascii="楷体" w:hAnsi="楷体" w:eastAsia="楷体" w:cs="宋体"/>
                <w:b/>
                <w:spacing w:val="-2"/>
                <w:szCs w:val="21"/>
                <w:u w:val="single"/>
                <w:lang w:val="en-US" w:eastAsia="zh-CN"/>
              </w:rPr>
              <w:t>各份额</w:t>
            </w:r>
            <w:r>
              <w:rPr>
                <w:rFonts w:hint="eastAsia" w:ascii="楷体" w:hAnsi="楷体" w:eastAsia="楷体" w:cs="宋体"/>
                <w:b/>
                <w:spacing w:val="-2"/>
                <w:szCs w:val="21"/>
                <w:u w:val="single"/>
              </w:rPr>
              <w:t>按照设置的销售对象和销售起点进行销售，客户根据产品销售设置的条件自主选择购买。</w:t>
            </w:r>
          </w:p>
          <w:p>
            <w:pPr>
              <w:pStyle w:val="32"/>
              <w:keepNext w:val="0"/>
              <w:keepLines w:val="0"/>
              <w:pageBreakBefore w:val="0"/>
              <w:widowControl w:val="0"/>
              <w:kinsoku w:val="0"/>
              <w:wordWrap/>
              <w:overflowPunct w:val="0"/>
              <w:topLinePunct w:val="0"/>
              <w:bidi w:val="0"/>
              <w:snapToGrid/>
              <w:spacing w:line="240" w:lineRule="auto"/>
              <w:ind w:left="63" w:leftChars="30" w:right="63" w:rightChars="30"/>
              <w:jc w:val="both"/>
              <w:textAlignment w:val="auto"/>
              <w:rPr>
                <w:rFonts w:ascii="楷体" w:hAnsi="楷体" w:eastAsia="楷体" w:cs="宋体"/>
                <w:spacing w:val="-2"/>
                <w:sz w:val="21"/>
                <w:szCs w:val="21"/>
              </w:rPr>
            </w:pPr>
            <w:r>
              <w:rPr>
                <w:rFonts w:hint="eastAsia" w:ascii="楷体" w:hAnsi="楷体" w:eastAsia="楷体" w:cs="宋体"/>
                <w:spacing w:val="-2"/>
                <w:sz w:val="21"/>
                <w:szCs w:val="21"/>
              </w:rPr>
              <w:t>产品存续期内苏银理财有权对相关费用</w:t>
            </w:r>
            <w:r>
              <w:rPr>
                <w:rFonts w:hint="eastAsia" w:ascii="楷体" w:hAnsi="楷体" w:eastAsia="楷体" w:cs="宋体"/>
                <w:spacing w:val="-2"/>
                <w:sz w:val="21"/>
                <w:szCs w:val="21"/>
                <w:lang w:val="en-US" w:eastAsia="zh-CN"/>
              </w:rPr>
              <w:t>进行调整</w:t>
            </w:r>
            <w:r>
              <w:rPr>
                <w:rFonts w:hint="eastAsia" w:ascii="楷体" w:hAnsi="楷体" w:eastAsia="楷体" w:cs="宋体"/>
                <w:spacing w:val="-2"/>
                <w:sz w:val="21"/>
                <w:szCs w:val="21"/>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估值日</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4" w:leftChars="0"/>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kern w:val="2"/>
                <w:sz w:val="24"/>
                <w:szCs w:val="24"/>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将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收益分配</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理财</w:t>
            </w: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信息披露</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614" w:type="dxa"/>
            <w:noWrap w:val="0"/>
            <w:vAlign w:val="center"/>
          </w:tcPr>
          <w:p>
            <w:pPr>
              <w:keepNext w:val="0"/>
              <w:keepLines w:val="0"/>
              <w:pageBreakBefore w:val="0"/>
              <w:widowControl w:val="0"/>
              <w:wordWrap/>
              <w:topLinePunct w:val="0"/>
              <w:bidi w:val="0"/>
              <w:snapToGrid/>
              <w:spacing w:line="240" w:lineRule="auto"/>
              <w:ind w:left="63" w:leftChars="30" w:right="63" w:rightChars="30"/>
              <w:jc w:val="both"/>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r>
        <w:rPr>
          <w:rFonts w:hint="eastAsia" w:ascii="楷体" w:hAnsi="楷体" w:eastAsia="楷体"/>
          <w:sz w:val="24"/>
          <w:szCs w:val="24"/>
        </w:rPr>
        <w:t>。</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3"/>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90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4"/>
        <w:gridCol w:w="3973"/>
        <w:gridCol w:w="3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79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F份额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深圳前海微众银行股份有限公司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G份额</w:t>
            </w:r>
          </w:p>
        </w:tc>
        <w:tc>
          <w:tcPr>
            <w:tcW w:w="3973"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交通银行股份有限公司</w:t>
            </w:r>
          </w:p>
        </w:tc>
        <w:tc>
          <w:tcPr>
            <w:tcW w:w="395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嘉兴银行股份有限公司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上海农村商业银行股份有限公司</w:t>
            </w:r>
          </w:p>
        </w:tc>
        <w:tc>
          <w:tcPr>
            <w:tcW w:w="3953"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JS份额</w:t>
            </w:r>
          </w:p>
        </w:tc>
        <w:tc>
          <w:tcPr>
            <w:tcW w:w="3973"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江苏民丰农村商业银行股份有限公司</w:t>
            </w:r>
          </w:p>
        </w:tc>
        <w:tc>
          <w:tcPr>
            <w:tcW w:w="395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苏银理财有限责任公司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江苏泗阳农村商业银行股份有限公司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江苏盱眙农村商业银行股份有限公司</w:t>
            </w:r>
          </w:p>
        </w:tc>
        <w:tc>
          <w:tcPr>
            <w:tcW w:w="3953"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徐州农村商业银行股份有限公司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江苏金湖农村商业银行股份有限公司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江苏大丰农村商业银行股份有限公司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江苏江南农村商业银行股份有限公司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江苏海安农村商业银行股份有限公司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江苏涟水农村商业银行股份有限公司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江苏淮安农村商业银行股份有限公司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江苏丰县农村商业银行股份有限公司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江苏仪征农村商业银行股份有限公司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江苏宝应农村商业银行股份有限公司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连云港东方农村商业银行股份有限公司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江苏泰州农村商业银行股份有限公司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江苏赣榆农村商业银行股份有限公司</w:t>
            </w:r>
          </w:p>
        </w:tc>
        <w:tc>
          <w:tcPr>
            <w:tcW w:w="395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江苏东海农村商业银行股份有限公司</w:t>
            </w:r>
          </w:p>
        </w:tc>
        <w:tc>
          <w:tcPr>
            <w:tcW w:w="3953"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1134" w:type="dxa"/>
            <w:vMerge w:val="continue"/>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73"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江苏宜兴农村商业银行股份有限公司</w:t>
            </w:r>
          </w:p>
        </w:tc>
        <w:tc>
          <w:tcPr>
            <w:tcW w:w="3953"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H份额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芙蓉锦程·</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优选份额</w:t>
            </w:r>
          </w:p>
        </w:tc>
        <w:tc>
          <w:tcPr>
            <w:tcW w:w="3973"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成都银行股份有限公司</w:t>
            </w:r>
          </w:p>
        </w:tc>
        <w:tc>
          <w:tcPr>
            <w:tcW w:w="3953"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bl>
    <w:p>
      <w:pPr>
        <w:numPr>
          <w:ilvl w:val="0"/>
          <w:numId w:val="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88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苏豪弘业期货股份有限公司成立于1995年，隶属于江苏省国资委全资拥有的国有企业江苏省苏豪控股集团有限公司。公司经营范围涵盖商品期货经纪、金融期货经纪、期货投资咨询、资产管理、基金销售业务。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楷体" w:hAnsi="楷体" w:eastAsia="楷体"/>
                <w:b w:val="0"/>
                <w:bCs w:val="0"/>
                <w:sz w:val="20"/>
                <w:szCs w:val="18"/>
              </w:rPr>
            </w:pPr>
            <w:r>
              <w:rPr>
                <w:rFonts w:hint="eastAsia" w:ascii="楷体" w:hAnsi="楷体" w:eastAsia="楷体"/>
                <w:b w:val="0"/>
                <w:bCs w:val="0"/>
                <w:sz w:val="20"/>
                <w:szCs w:val="20"/>
                <w:highlight w:val="none"/>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永诚保险资产管理有限公司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kern w:val="2"/>
                <w:sz w:val="20"/>
                <w:szCs w:val="18"/>
                <w:lang w:val="en-US" w:eastAsia="zh-CN" w:bidi="ar-SA"/>
              </w:rPr>
            </w:pPr>
            <w:r>
              <w:rPr>
                <w:rFonts w:hint="eastAsia" w:ascii="楷体" w:hAnsi="楷体" w:eastAsia="楷体"/>
                <w:sz w:val="20"/>
                <w:szCs w:val="18"/>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安联保险资产管理有限公司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kern w:val="2"/>
                <w:sz w:val="20"/>
                <w:szCs w:val="18"/>
                <w:lang w:val="en-US" w:eastAsia="zh-CN" w:bidi="ar-SA"/>
              </w:rPr>
            </w:pPr>
            <w:r>
              <w:rPr>
                <w:rFonts w:hint="eastAsia" w:ascii="楷体" w:hAnsi="楷体" w:eastAsia="楷体"/>
                <w:sz w:val="20"/>
                <w:szCs w:val="18"/>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新华资产管理股份有限公司</w:t>
            </w:r>
          </w:p>
        </w:tc>
        <w:tc>
          <w:tcPr>
            <w:tcW w:w="2920" w:type="pct"/>
            <w:noWrap w:val="0"/>
            <w:vAlign w:val="top"/>
          </w:tcPr>
          <w:p>
            <w:pPr>
              <w:keepNext w:val="0"/>
              <w:keepLines w:val="0"/>
              <w:pageBreakBefore w:val="0"/>
              <w:kinsoku/>
              <w:wordWrap/>
              <w:overflowPunct/>
              <w:topLinePunct w:val="0"/>
              <w:autoSpaceDE/>
              <w:autoSpaceDN/>
              <w:bidi w:val="0"/>
              <w:adjustRightInd/>
              <w:snapToGrid/>
              <w:spacing w:line="0" w:lineRule="atLeast"/>
              <w:rPr>
                <w:rFonts w:hint="eastAsia" w:ascii="楷体" w:hAnsi="楷体" w:eastAsia="楷体"/>
                <w:sz w:val="20"/>
                <w:szCs w:val="18"/>
              </w:rPr>
            </w:pPr>
            <w:r>
              <w:rPr>
                <w:rFonts w:hint="eastAsia" w:ascii="楷体" w:hAnsi="楷体" w:eastAsia="楷体"/>
                <w:sz w:val="20"/>
                <w:szCs w:val="18"/>
              </w:rPr>
              <w:t>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中粮信托有限责任公司</w:t>
            </w:r>
          </w:p>
        </w:tc>
        <w:tc>
          <w:tcPr>
            <w:tcW w:w="292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泰康资产管理有限责任公司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长城财富保险资产管理股份有限公司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2"/>
                <w:sz w:val="20"/>
                <w:szCs w:val="20"/>
                <w:u w:val="none"/>
                <w:lang w:val="en-US" w:eastAsia="zh-CN" w:bidi="ar-SA"/>
              </w:rPr>
            </w:pPr>
            <w:r>
              <w:rPr>
                <w:rFonts w:hint="eastAsia" w:ascii="楷体" w:hAnsi="楷体" w:eastAsia="楷体" w:cs="楷体"/>
                <w:i w:val="0"/>
                <w:iCs w:val="0"/>
                <w:color w:val="000000"/>
                <w:kern w:val="0"/>
                <w:sz w:val="20"/>
                <w:szCs w:val="20"/>
                <w:u w:val="none"/>
                <w:lang w:val="en-US" w:eastAsia="zh-CN" w:bidi="ar"/>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陆家嘴国际信托有限公司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陆家嘴国际信托有限公司（简称陆家嘴信托或公司）是上海陆家嘴金融发展有限公司控股的信托机构，注册资本为104亿元。公司注册地为青岛，在部分城市设立业务团队。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国投泰康信托有限公司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东方财富证券股份有限公司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太平洋资产管理有限责任公司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长江养老保险股份有限公司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长江养老保险股份有限公司是中国太平洋保险（集团）股份有限公司旗下专业开展养老及相关资产管理业务的子公司。公司成立于2007年5月，由11家大型央企和上海国资企业共同发起设立，总部位于上海。截至2023年底，公司管理资产规模突破1.1万亿元，管理资金包括基本养老保险基金、企业年金基金、职业年金基金、个人税延养老保险和专属商业养老保险资金以及其他养老相关资金。公司在养老金投资方面努力实现长期与短期、绝对与相对、收益与风险的平衡，追求绝对收益上的相对收益。公司积极推动养老金管理与社会经济发展的良性互动，持续引导长期资金服务国家战略、支持实体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紫金信托有限责任公司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云南国际信托有限公司</w:t>
            </w:r>
          </w:p>
        </w:tc>
        <w:tc>
          <w:tcPr>
            <w:tcW w:w="2920" w:type="pct"/>
            <w:noWrap w:val="0"/>
            <w:vAlign w:val="top"/>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top"/>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求对合作机构进行准入，签署相关协议后，披露新增的投资合作机构</w:t>
      </w:r>
      <w:r>
        <w:rPr>
          <w:rFonts w:hint="eastAsia" w:ascii="楷体" w:hAnsi="楷体" w:eastAsia="楷体"/>
          <w:sz w:val="24"/>
          <w:szCs w:val="24"/>
          <w:highlight w:val="none"/>
          <w:lang w:eastAsia="zh-CN"/>
        </w:rPr>
        <w:t>。</w:t>
      </w:r>
    </w:p>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w:t>
      </w:r>
      <w:r>
        <w:rPr>
          <w:rFonts w:hint="eastAsia" w:ascii="楷体" w:hAnsi="楷体" w:eastAsia="楷体"/>
          <w:sz w:val="24"/>
          <w:szCs w:val="24"/>
          <w:lang w:val="en-US" w:eastAsia="zh-CN"/>
        </w:rPr>
        <w:t>理财</w:t>
      </w:r>
      <w:r>
        <w:rPr>
          <w:rFonts w:hint="eastAsia" w:ascii="楷体" w:hAnsi="楷体" w:eastAsia="楷体"/>
          <w:sz w:val="24"/>
          <w:szCs w:val="24"/>
        </w:rPr>
        <w:t>产品说明书中，除非上下文另有明确约定，下列用词将具有如下含义：</w:t>
      </w:r>
    </w:p>
    <w:p>
      <w:pPr>
        <w:numPr>
          <w:ilvl w:val="0"/>
          <w:numId w:val="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参与主体用语</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★管理人/产品管理人/理财产品管理人：指苏银理财有限责任公司（本文简称“苏银理财”）。</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5"/>
        </w:numPr>
        <w:tabs>
          <w:tab w:val="left" w:pos="728"/>
        </w:tabs>
        <w:ind w:left="0" w:firstLine="480" w:firstLineChars="200"/>
        <w:rPr>
          <w:rFonts w:hint="eastAsia" w:ascii="楷体" w:hAnsi="楷体" w:eastAsia="楷体" w:cs="Times New Roman"/>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5"/>
        </w:numPr>
        <w:tabs>
          <w:tab w:val="left" w:pos="728"/>
        </w:tabs>
        <w:ind w:left="-60" w:leftChars="0" w:firstLine="480" w:firstLineChars="0"/>
        <w:rPr>
          <w:rFonts w:hint="eastAsia" w:ascii="楷体" w:hAnsi="楷体" w:eastAsia="楷体" w:cs="Calibri"/>
          <w:sz w:val="24"/>
          <w:szCs w:val="24"/>
        </w:rPr>
      </w:pPr>
      <w:r>
        <w:rPr>
          <w:rFonts w:hint="eastAsia" w:ascii="楷体" w:hAnsi="楷体" w:eastAsia="楷体" w:cs="Calibri"/>
          <w:sz w:val="24"/>
          <w:szCs w:val="24"/>
          <w:highlight w:val="none"/>
        </w:rPr>
        <w:t>投资者：指符合相关法律法规、监管规定要求的，可以购买理财产品份额的自然人和法人</w:t>
      </w:r>
      <w:r>
        <w:rPr>
          <w:rFonts w:hint="eastAsia" w:ascii="楷体" w:hAnsi="楷体" w:eastAsia="楷体" w:cs="Calibri"/>
          <w:sz w:val="24"/>
          <w:szCs w:val="24"/>
        </w:rPr>
        <w:t>。</w:t>
      </w:r>
    </w:p>
    <w:p>
      <w:pPr>
        <w:numPr>
          <w:ilvl w:val="0"/>
          <w:numId w:val="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理财产品用语</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w:t>
      </w:r>
      <w:r>
        <w:rPr>
          <w:rFonts w:hint="eastAsia" w:ascii="楷体" w:hAnsi="楷体" w:eastAsia="楷体" w:cs="Calibri"/>
          <w:sz w:val="24"/>
          <w:szCs w:val="24"/>
          <w:lang w:eastAsia="zh-CN"/>
        </w:rPr>
        <w:t>最短持有7天</w:t>
      </w:r>
      <w:r>
        <w:rPr>
          <w:rFonts w:hint="eastAsia" w:ascii="楷体" w:hAnsi="楷体" w:eastAsia="楷体" w:cs="Calibri"/>
          <w:sz w:val="24"/>
          <w:szCs w:val="24"/>
        </w:rPr>
        <w:t>”理财产品。</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w:t>
      </w:r>
      <w:r>
        <w:rPr>
          <w:rFonts w:hint="eastAsia" w:ascii="楷体" w:hAnsi="楷体" w:eastAsia="楷体" w:cs="Calibri"/>
          <w:sz w:val="24"/>
          <w:szCs w:val="24"/>
          <w:highlight w:val="none"/>
        </w:rPr>
        <w:t>包括托管费、销售服务费、投资管理费、超额业绩报酬</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如有</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、其他费用等</w:t>
      </w:r>
      <w:r>
        <w:rPr>
          <w:rFonts w:hint="eastAsia" w:ascii="楷体" w:hAnsi="楷体" w:eastAsia="楷体" w:cs="Calibri"/>
          <w:sz w:val="24"/>
          <w:szCs w:val="24"/>
        </w:rPr>
        <w:t>）、应付税金及其他应付款项等。</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6"/>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w:t>
      </w: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r>
        <w:rPr>
          <w:rFonts w:hint="eastAsia" w:ascii="楷体" w:hAnsi="楷体" w:eastAsia="楷体" w:cs="Calibri"/>
          <w:b/>
          <w:sz w:val="24"/>
          <w:szCs w:val="24"/>
        </w:rPr>
        <w:t>。</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6"/>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认购：指投资者根据</w:t>
      </w:r>
      <w:r>
        <w:rPr>
          <w:rFonts w:hint="eastAsia" w:ascii="楷体" w:hAnsi="楷体" w:eastAsia="楷体" w:cs="Calibri"/>
          <w:sz w:val="24"/>
          <w:szCs w:val="24"/>
          <w:lang w:val="en-US" w:eastAsia="zh-CN"/>
        </w:rPr>
        <w:t>理财</w:t>
      </w:r>
      <w:r>
        <w:rPr>
          <w:rFonts w:hint="eastAsia" w:ascii="楷体" w:hAnsi="楷体" w:eastAsia="楷体" w:cs="Calibri"/>
          <w:sz w:val="24"/>
          <w:szCs w:val="24"/>
        </w:rPr>
        <w:t>产品说明书约定在募集期内申请购买本产品理财产品份额的行为。</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6"/>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kern w:val="2"/>
          <w:sz w:val="24"/>
          <w:szCs w:val="24"/>
          <w:highlight w:val="none"/>
          <w:lang w:eastAsia="zh-CN"/>
        </w:rPr>
        <w:t>。</w:t>
      </w:r>
    </w:p>
    <w:p>
      <w:pPr>
        <w:numPr>
          <w:ilvl w:val="0"/>
          <w:numId w:val="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期间与日期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ascii="楷体" w:hAnsi="楷体" w:eastAsia="楷体" w:cs="Calibri"/>
          <w:sz w:val="24"/>
          <w:szCs w:val="24"/>
          <w:highlight w:val="none"/>
        </w:rPr>
        <w:t>指上海证券交易所</w:t>
      </w:r>
      <w:r>
        <w:rPr>
          <w:rFonts w:hint="eastAsia" w:ascii="楷体" w:hAnsi="楷体" w:eastAsia="楷体" w:cs="Calibri"/>
          <w:sz w:val="24"/>
          <w:szCs w:val="24"/>
          <w:highlight w:val="none"/>
          <w:lang w:eastAsia="zh-CN"/>
        </w:rPr>
        <w:t>、</w:t>
      </w:r>
      <w:r>
        <w:rPr>
          <w:rFonts w:ascii="楷体" w:hAnsi="楷体" w:eastAsia="楷体" w:cs="Calibri"/>
          <w:sz w:val="24"/>
          <w:szCs w:val="24"/>
          <w:highlight w:val="none"/>
        </w:rPr>
        <w:t>深圳证券交易所的正常开盘交易日</w:t>
      </w:r>
      <w:r>
        <w:rPr>
          <w:rFonts w:hint="eastAsia" w:ascii="楷体" w:hAnsi="楷体" w:eastAsia="楷体" w:cs="Calibri"/>
          <w:sz w:val="24"/>
          <w:szCs w:val="24"/>
          <w:highlight w:val="none"/>
          <w:lang w:eastAsia="zh-CN"/>
        </w:rPr>
        <w:t>。</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w:t>
      </w:r>
      <w:r>
        <w:rPr>
          <w:rFonts w:hint="eastAsia" w:ascii="楷体" w:hAnsi="楷体" w:eastAsia="楷体" w:cs="Calibri"/>
          <w:sz w:val="24"/>
          <w:szCs w:val="24"/>
          <w:highlight w:val="none"/>
          <w:lang w:eastAsia="zh-CN"/>
        </w:rPr>
        <w:t>、</w:t>
      </w:r>
      <w:r>
        <w:rPr>
          <w:rFonts w:ascii="楷体" w:hAnsi="楷体" w:eastAsia="楷体" w:cs="Calibri"/>
          <w:sz w:val="24"/>
          <w:szCs w:val="24"/>
          <w:highlight w:val="none"/>
        </w:rPr>
        <w:t>深圳证券交易所的正常开盘交易日</w:t>
      </w:r>
      <w:r>
        <w:rPr>
          <w:rFonts w:hint="eastAsia" w:ascii="楷体" w:hAnsi="楷体" w:eastAsia="楷体" w:cs="Calibri"/>
          <w:sz w:val="24"/>
          <w:szCs w:val="24"/>
          <w:highlight w:val="none"/>
        </w:rPr>
        <w:t>。</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份额登记日/份额确认日：指管理人对投资者提交的认购申请进行份额登记的日期。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兑付日：指投资者理财资金到达投资者资金账户的日期。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开放日：本产品封闭运作期结束后，后续每个工作日为开放日。</w:t>
      </w:r>
      <w:r>
        <w:rPr>
          <w:rFonts w:ascii="楷体" w:hAnsi="楷体" w:eastAsia="楷体" w:cs="Calibri"/>
          <w:sz w:val="24"/>
          <w:szCs w:val="24"/>
          <w:highlight w:val="none"/>
        </w:rPr>
        <w:t>管理人在开放日对投资者的申购</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赎回</w:t>
      </w:r>
      <w:r>
        <w:rPr>
          <w:rFonts w:hint="eastAsia" w:ascii="楷体" w:hAnsi="楷体" w:eastAsia="楷体" w:cs="Calibri"/>
          <w:sz w:val="24"/>
          <w:szCs w:val="24"/>
          <w:highlight w:val="none"/>
        </w:rPr>
        <w:t>申请</w:t>
      </w:r>
      <w:r>
        <w:rPr>
          <w:rFonts w:ascii="楷体" w:hAnsi="楷体" w:eastAsia="楷体" w:cs="Calibri"/>
          <w:sz w:val="24"/>
          <w:szCs w:val="24"/>
          <w:highlight w:val="none"/>
        </w:rPr>
        <w:t>进行确认</w:t>
      </w:r>
      <w:r>
        <w:rPr>
          <w:rFonts w:hint="eastAsia" w:ascii="楷体" w:hAnsi="楷体" w:eastAsia="楷体" w:cs="Calibri"/>
          <w:sz w:val="24"/>
          <w:szCs w:val="24"/>
          <w:highlight w:val="none"/>
        </w:rPr>
        <w:t>。</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4"/>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其他</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9"/>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9"/>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hint="eastAsia" w:ascii="楷体" w:hAnsi="楷体" w:eastAsia="楷体" w:cs="Calibri"/>
          <w:sz w:val="24"/>
          <w:szCs w:val="24"/>
        </w:rPr>
      </w:pPr>
      <w:r>
        <w:rPr>
          <w:rFonts w:hint="eastAsia" w:ascii="楷体" w:hAnsi="楷体" w:eastAsia="楷体" w:cs="Calibri"/>
          <w:sz w:val="24"/>
          <w:szCs w:val="24"/>
          <w:highlight w:val="none"/>
          <w:lang w:val="en-US" w:eastAsia="zh-CN"/>
        </w:rPr>
        <w:t>（5）网络系统遭受攻击、电信部门技术调整或故障等原因导致的服务中断和延迟等。</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投资管理</w:t>
      </w:r>
    </w:p>
    <w:p>
      <w:pPr>
        <w:numPr>
          <w:ilvl w:val="0"/>
          <w:numId w:val="1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投资范围和比例</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理财产品直接或间接投资于货币市场工具、银行存款、存单、债券（含永续债）和监管机构允许投资的其他标准化类资产。具体资产投资比例为：货币市场工具、银行存款、存单占产品资产总值比例为0-100%，债券以及符合监管要求的标准化类资产占产品资产总值比例为0-80%。</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本产品所投资的资产或资产组合均严格经过苏银理财有限责任公司审批流程审批和筛选，在投资时达到可投资标准。除本说明书特别约定外，资产或资产组合拟投资的各类债券信用评级均在AA级（含）以上。</w:t>
      </w:r>
    </w:p>
    <w:p>
      <w:pPr>
        <w:ind w:firstLine="480" w:firstLineChars="200"/>
        <w:rPr>
          <w:rFonts w:hint="eastAsia" w:ascii="楷体" w:hAnsi="楷体" w:eastAsia="楷体"/>
          <w:sz w:val="24"/>
          <w:szCs w:val="24"/>
        </w:rPr>
      </w:pPr>
      <w:r>
        <w:rPr>
          <w:rFonts w:hint="eastAsia" w:ascii="楷体" w:hAnsi="楷体" w:eastAsia="楷体"/>
          <w:sz w:val="24"/>
          <w:szCs w:val="24"/>
        </w:rPr>
        <w:t>其中现金或者到期日在一年以内的国债、中央银行票据和政策性金融债券不低于产品净资产的5%。流动性受限资产的市值在开放日不得超过该产品资产净值的15%。7个工作日可变现资产的可变现价值不低于该产品资产净值的10%。</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相关法律法规和监管部门对以上投资范围和配置比例有另行规定的，按照监</w:t>
      </w: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管最新规定执行。非因管理人主观因素导致突破前述比例限制的，管理人将在流</w:t>
      </w:r>
    </w:p>
    <w:p>
      <w:pPr>
        <w:rPr>
          <w:rFonts w:hint="eastAsia" w:ascii="楷体" w:hAnsi="楷体" w:eastAsia="楷体"/>
          <w:sz w:val="24"/>
          <w:szCs w:val="24"/>
          <w:highlight w:val="none"/>
        </w:rPr>
      </w:pPr>
      <w:r>
        <w:rPr>
          <w:rFonts w:hint="eastAsia" w:ascii="楷体" w:hAnsi="楷体" w:eastAsia="楷体" w:cs="Times New Roman"/>
          <w:sz w:val="24"/>
          <w:szCs w:val="24"/>
          <w:highlight w:val="none"/>
        </w:rPr>
        <w:t>动性受限资产可出售、可转让或者恢复交易的 15 个交易日内调整至符合相关要求</w:t>
      </w:r>
      <w:r>
        <w:rPr>
          <w:rFonts w:hint="eastAsia" w:ascii="楷体" w:hAnsi="楷体" w:eastAsia="楷体"/>
          <w:sz w:val="24"/>
          <w:szCs w:val="24"/>
          <w:highlight w:val="none"/>
        </w:rPr>
        <w:t>。</w:t>
      </w:r>
    </w:p>
    <w:p>
      <w:pPr>
        <w:numPr>
          <w:ilvl w:val="0"/>
          <w:numId w:val="1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投资策略</w:t>
      </w:r>
    </w:p>
    <w:p>
      <w:pPr>
        <w:ind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本产品利用定性分析和定量分析方法，通过对金融工具的积极投资，在有效控制投资风险和保持流动性的基础上，力争获得高于业绩比较基准的投资回报，主要投资策略包括资产配置策略、利率策略、收益率曲线策略、信用策略和杠杆策略等。</w:t>
      </w:r>
    </w:p>
    <w:p>
      <w:pPr>
        <w:numPr>
          <w:ilvl w:val="0"/>
          <w:numId w:val="1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投资集中度限制</w:t>
      </w:r>
    </w:p>
    <w:p>
      <w:pPr>
        <w:keepNext w:val="0"/>
        <w:keepLines w:val="0"/>
        <w:pageBreakBefore w:val="0"/>
        <w:widowControl w:val="0"/>
        <w:numPr>
          <w:ilvl w:val="0"/>
          <w:numId w:val="11"/>
        </w:numPr>
        <w:tabs>
          <w:tab w:val="left" w:pos="728"/>
          <w:tab w:val="clear" w:pos="312"/>
        </w:tabs>
        <w:kinsoku/>
        <w:wordWrap/>
        <w:overflowPunct/>
        <w:topLinePunct w:val="0"/>
        <w:autoSpaceDE/>
        <w:autoSpaceDN/>
        <w:bidi w:val="0"/>
        <w:adjustRightInd/>
        <w:snapToGrid/>
        <w:ind w:left="0" w:leftChars="0" w:firstLine="480" w:firstLineChars="200"/>
        <w:textAlignment w:val="auto"/>
        <w:rPr>
          <w:rFonts w:ascii="楷体" w:hAnsi="楷体" w:eastAsia="楷体" w:cs="Calibri"/>
          <w:sz w:val="24"/>
          <w:szCs w:val="24"/>
          <w:highlight w:val="none"/>
        </w:rPr>
      </w:pPr>
      <w:r>
        <w:rPr>
          <w:rFonts w:hint="eastAsia" w:ascii="楷体" w:hAnsi="楷体" w:eastAsia="楷体" w:cs="Calibri"/>
          <w:sz w:val="24"/>
          <w:szCs w:val="24"/>
          <w:highlight w:val="none"/>
        </w:rPr>
        <w:t>本产品持有单只证券或者单只公募证券投资基金的市值不得超过产品净资产的</w:t>
      </w:r>
      <w:r>
        <w:rPr>
          <w:rFonts w:ascii="楷体" w:hAnsi="楷体" w:eastAsia="楷体" w:cs="Calibri"/>
          <w:sz w:val="24"/>
          <w:szCs w:val="24"/>
          <w:highlight w:val="none"/>
        </w:rPr>
        <w:t>10%</w:t>
      </w:r>
      <w:r>
        <w:rPr>
          <w:rFonts w:hint="eastAsia" w:ascii="楷体" w:hAnsi="楷体" w:eastAsia="楷体" w:cs="Calibri"/>
          <w:sz w:val="24"/>
          <w:szCs w:val="24"/>
          <w:highlight w:val="none"/>
        </w:rPr>
        <w:t>。</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2.管理人全部公募产品持有单只证券或单只公募证券投资基金的市值，不得超过该证券市值或该公募证券投资基金市值的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3.管理人全部产品持有单一上市公司发行的股票，不得超过该上市公司可流通股票的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金融监督管理部门另有规定的除外。</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非因管理人主观因素导致突破上述比例限制的，产品管理人在流动性受限资产可出售、可转让或者恢复交易的</w:t>
      </w:r>
      <w:r>
        <w:rPr>
          <w:rFonts w:ascii="楷体" w:hAnsi="楷体" w:eastAsia="楷体"/>
          <w:sz w:val="24"/>
          <w:szCs w:val="24"/>
          <w:highlight w:val="none"/>
        </w:rPr>
        <w:t>1</w:t>
      </w:r>
      <w:r>
        <w:rPr>
          <w:rFonts w:hint="eastAsia" w:ascii="楷体" w:hAnsi="楷体" w:eastAsia="楷体"/>
          <w:sz w:val="24"/>
          <w:szCs w:val="24"/>
          <w:highlight w:val="none"/>
        </w:rPr>
        <w:t>0个交易日内调整至符合要求。</w:t>
      </w:r>
    </w:p>
    <w:p>
      <w:pPr>
        <w:numPr>
          <w:ilvl w:val="0"/>
          <w:numId w:val="1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杠杆</w:t>
      </w:r>
      <w:r>
        <w:rPr>
          <w:rFonts w:ascii="楷体" w:hAnsi="楷体" w:eastAsia="楷体" w:cs="Calibri"/>
          <w:sz w:val="24"/>
          <w:szCs w:val="24"/>
          <w:highlight w:val="none"/>
        </w:rPr>
        <w:t>水平限制</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本理财产品资产总值/理财产品资产净值不超过140%（如监管有最新规定的</w:t>
      </w:r>
    </w:p>
    <w:p>
      <w:pPr>
        <w:tabs>
          <w:tab w:val="left" w:pos="993"/>
        </w:tabs>
        <w:rPr>
          <w:rFonts w:hint="eastAsia" w:ascii="楷体" w:hAnsi="楷体" w:eastAsia="楷体" w:cs="Calibri"/>
          <w:sz w:val="24"/>
          <w:szCs w:val="24"/>
          <w:highlight w:val="none"/>
        </w:rPr>
      </w:pPr>
      <w:r>
        <w:rPr>
          <w:rFonts w:hint="eastAsia" w:ascii="楷体" w:hAnsi="楷体" w:eastAsia="楷体" w:cs="Calibri"/>
          <w:sz w:val="24"/>
          <w:szCs w:val="24"/>
          <w:highlight w:val="none"/>
        </w:rPr>
        <w:t>参照监管规定调整）。</w:t>
      </w:r>
    </w:p>
    <w:p>
      <w:pPr>
        <w:numPr>
          <w:ilvl w:val="0"/>
          <w:numId w:val="10"/>
        </w:numPr>
        <w:tabs>
          <w:tab w:val="left" w:pos="993"/>
        </w:tabs>
        <w:ind w:left="0" w:firstLine="480" w:firstLineChars="200"/>
        <w:outlineLvl w:val="1"/>
        <w:rPr>
          <w:rFonts w:ascii="楷体" w:hAnsi="楷体" w:eastAsia="楷体" w:cs="Calibri"/>
          <w:sz w:val="24"/>
          <w:szCs w:val="24"/>
          <w:highlight w:val="none"/>
        </w:rPr>
      </w:pPr>
      <w:r>
        <w:rPr>
          <w:rFonts w:hint="eastAsia" w:ascii="楷体" w:hAnsi="楷体" w:eastAsia="楷体" w:cs="Calibri"/>
          <w:sz w:val="24"/>
          <w:szCs w:val="24"/>
          <w:highlight w:val="none"/>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产品认购</w:t>
      </w:r>
    </w:p>
    <w:p>
      <w:pPr>
        <w:numPr>
          <w:ilvl w:val="0"/>
          <w:numId w:val="12"/>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认购期间：2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17</w:t>
      </w:r>
      <w:r>
        <w:rPr>
          <w:rFonts w:hint="eastAsia" w:ascii="楷体" w:hAnsi="楷体" w:eastAsia="楷体" w:cs="Calibri"/>
          <w:sz w:val="24"/>
          <w:szCs w:val="24"/>
        </w:rPr>
        <w:t>日9:00至2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19</w:t>
      </w:r>
      <w:r>
        <w:rPr>
          <w:rFonts w:hint="eastAsia" w:ascii="楷体" w:hAnsi="楷体" w:eastAsia="楷体" w:cs="Calibri"/>
          <w:sz w:val="24"/>
          <w:szCs w:val="24"/>
        </w:rPr>
        <w:t>日17:00。</w:t>
      </w:r>
      <w:r>
        <w:rPr>
          <w:rFonts w:hint="eastAsia" w:ascii="楷体" w:hAnsi="楷体" w:eastAsia="楷体"/>
          <w:sz w:val="24"/>
          <w:szCs w:val="24"/>
          <w:highlight w:val="none"/>
        </w:rPr>
        <w:t>（以各销售机构设置的认购时间为准）</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r>
        <w:rPr>
          <w:rFonts w:hint="eastAsia" w:ascii="楷体" w:hAnsi="楷体" w:eastAsia="楷体" w:cs="Calibri"/>
          <w:sz w:val="24"/>
          <w:szCs w:val="24"/>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r>
        <w:rPr>
          <w:rFonts w:hint="eastAsia" w:ascii="楷体" w:hAnsi="楷体" w:eastAsia="楷体"/>
          <w:sz w:val="24"/>
          <w:szCs w:val="24"/>
          <w:lang w:eastAsia="zh-CN"/>
        </w:rPr>
        <w:t>（</w:t>
      </w:r>
      <w:r>
        <w:rPr>
          <w:rFonts w:hint="eastAsia" w:ascii="楷体" w:hAnsi="楷体" w:eastAsia="楷体"/>
          <w:sz w:val="24"/>
          <w:szCs w:val="24"/>
          <w:lang w:val="en-US" w:eastAsia="zh-CN"/>
        </w:rPr>
        <w:t>以各销售机构设置为准</w:t>
      </w:r>
      <w:r>
        <w:rPr>
          <w:rFonts w:hint="eastAsia" w:ascii="楷体" w:hAnsi="楷体" w:eastAsia="楷体"/>
          <w:sz w:val="24"/>
          <w:szCs w:val="24"/>
          <w:lang w:eastAsia="zh-CN"/>
        </w:rPr>
        <w:t>）</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4"/>
        <w:gridCol w:w="1447"/>
        <w:gridCol w:w="1436"/>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47"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436"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186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F</w:t>
            </w:r>
          </w:p>
        </w:tc>
        <w:tc>
          <w:tcPr>
            <w:tcW w:w="1447" w:type="dxa"/>
            <w:noWrap w:val="0"/>
            <w:vAlign w:val="center"/>
          </w:tcPr>
          <w:p>
            <w:pPr>
              <w:jc w:val="center"/>
              <w:rPr>
                <w:rFonts w:hint="eastAsia" w:ascii="楷体" w:hAnsi="楷体" w:eastAsia="楷体" w:cs="Calibri"/>
                <w:szCs w:val="21"/>
              </w:rPr>
            </w:pPr>
            <w:r>
              <w:rPr>
                <w:rFonts w:hint="eastAsia" w:ascii="楷体" w:hAnsi="楷体" w:eastAsia="楷体"/>
                <w:spacing w:val="-2"/>
                <w:szCs w:val="21"/>
              </w:rPr>
              <w:t>J02534</w:t>
            </w:r>
          </w:p>
        </w:tc>
        <w:tc>
          <w:tcPr>
            <w:tcW w:w="1436"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G</w:t>
            </w:r>
          </w:p>
        </w:tc>
        <w:tc>
          <w:tcPr>
            <w:tcW w:w="1447" w:type="dxa"/>
            <w:noWrap w:val="0"/>
            <w:vAlign w:val="center"/>
          </w:tcPr>
          <w:p>
            <w:pPr>
              <w:jc w:val="center"/>
              <w:rPr>
                <w:rFonts w:hint="eastAsia" w:ascii="楷体" w:hAnsi="楷体" w:eastAsia="楷体"/>
                <w:spacing w:val="-2"/>
                <w:szCs w:val="21"/>
              </w:rPr>
            </w:pPr>
            <w:r>
              <w:rPr>
                <w:rFonts w:hint="eastAsia" w:ascii="楷体" w:hAnsi="楷体" w:eastAsia="楷体"/>
                <w:spacing w:val="-2"/>
                <w:szCs w:val="21"/>
              </w:rPr>
              <w:t>J02535</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default" w:ascii="楷体" w:hAnsi="楷体" w:eastAsia="楷体" w:cs="宋体"/>
                <w:spacing w:val="-2"/>
                <w:szCs w:val="21"/>
                <w:lang w:val="en-US"/>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JS鑫福款</w:t>
            </w:r>
          </w:p>
        </w:tc>
        <w:tc>
          <w:tcPr>
            <w:tcW w:w="1447" w:type="dxa"/>
            <w:noWrap w:val="0"/>
            <w:vAlign w:val="center"/>
          </w:tcPr>
          <w:p>
            <w:pPr>
              <w:jc w:val="center"/>
              <w:rPr>
                <w:rFonts w:hint="eastAsia" w:ascii="楷体" w:hAnsi="楷体" w:eastAsia="楷体"/>
                <w:spacing w:val="-2"/>
                <w:szCs w:val="21"/>
              </w:rPr>
            </w:pPr>
            <w:r>
              <w:rPr>
                <w:rFonts w:hint="eastAsia" w:ascii="楷体" w:hAnsi="楷体" w:eastAsia="楷体"/>
                <w:spacing w:val="-2"/>
                <w:szCs w:val="21"/>
              </w:rPr>
              <w:t>J03369</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1000</w:t>
            </w:r>
            <w:r>
              <w:rPr>
                <w:rFonts w:hint="eastAsia" w:ascii="楷体" w:hAnsi="楷体" w:eastAsia="楷体" w:cs="Calibri"/>
                <w:szCs w:val="21"/>
              </w:rPr>
              <w:t>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苏银理财恒源最短持有7天H</w:t>
            </w:r>
          </w:p>
        </w:tc>
        <w:tc>
          <w:tcPr>
            <w:tcW w:w="1447" w:type="dxa"/>
            <w:noWrap w:val="0"/>
            <w:vAlign w:val="center"/>
          </w:tcPr>
          <w:p>
            <w:pPr>
              <w:tabs>
                <w:tab w:val="left" w:pos="993"/>
              </w:tabs>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J03542</w:t>
            </w:r>
          </w:p>
        </w:tc>
        <w:tc>
          <w:tcPr>
            <w:tcW w:w="1436"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rPr>
              <w:t>1元</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4"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苏银理财恒源最短持有7天（芙蓉锦程·优选）</w:t>
            </w:r>
          </w:p>
        </w:tc>
        <w:tc>
          <w:tcPr>
            <w:tcW w:w="1447" w:type="dxa"/>
            <w:noWrap w:val="0"/>
            <w:vAlign w:val="center"/>
          </w:tcPr>
          <w:p>
            <w:pPr>
              <w:tabs>
                <w:tab w:val="left" w:pos="993"/>
              </w:tabs>
              <w:jc w:val="center"/>
              <w:rPr>
                <w:rFonts w:hint="eastAsia" w:ascii="楷体" w:hAnsi="楷体" w:eastAsia="楷体"/>
                <w:spacing w:val="-2"/>
                <w:szCs w:val="21"/>
              </w:rPr>
            </w:pPr>
            <w:r>
              <w:rPr>
                <w:rFonts w:hint="eastAsia" w:ascii="楷体" w:hAnsi="楷体" w:eastAsia="楷体"/>
                <w:spacing w:val="-2"/>
                <w:szCs w:val="21"/>
              </w:rPr>
              <w:t>J03603</w:t>
            </w:r>
          </w:p>
        </w:tc>
        <w:tc>
          <w:tcPr>
            <w:tcW w:w="1436"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186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r>
              <w:rPr>
                <w:rFonts w:hint="eastAsia" w:ascii="楷体" w:hAnsi="楷体" w:eastAsia="楷体" w:cs="宋体"/>
                <w:spacing w:val="-2"/>
                <w:szCs w:val="21"/>
              </w:rPr>
              <w:t>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单一投资者单个工作日认/申购上限如下：</w:t>
      </w:r>
      <w:r>
        <w:rPr>
          <w:rFonts w:hint="eastAsia" w:ascii="楷体" w:hAnsi="楷体" w:eastAsia="楷体"/>
          <w:sz w:val="24"/>
          <w:szCs w:val="24"/>
          <w:lang w:eastAsia="zh-CN"/>
        </w:rPr>
        <w:t>（</w:t>
      </w:r>
      <w:r>
        <w:rPr>
          <w:rFonts w:hint="eastAsia" w:ascii="楷体" w:hAnsi="楷体" w:eastAsia="楷体"/>
          <w:sz w:val="24"/>
          <w:szCs w:val="24"/>
          <w:lang w:val="en-US" w:eastAsia="zh-CN"/>
        </w:rPr>
        <w:t>以各销售机构设置为准</w:t>
      </w:r>
      <w:r>
        <w:rPr>
          <w:rFonts w:hint="eastAsia" w:ascii="楷体" w:hAnsi="楷体" w:eastAsia="楷体"/>
          <w:sz w:val="24"/>
          <w:szCs w:val="24"/>
          <w:lang w:eastAsia="zh-CN"/>
        </w:rPr>
        <w:t>）</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163"/>
        <w:gridCol w:w="3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16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3559" w:type="dxa"/>
            <w:noWrap w:val="0"/>
            <w:vAlign w:val="center"/>
          </w:tcPr>
          <w:p>
            <w:pPr>
              <w:jc w:val="center"/>
              <w:rPr>
                <w:rFonts w:hint="eastAsia" w:ascii="楷体" w:hAnsi="楷体" w:eastAsia="楷体" w:cs="Calibri"/>
                <w:szCs w:val="21"/>
              </w:rPr>
            </w:pPr>
            <w:r>
              <w:rPr>
                <w:rFonts w:hint="eastAsia" w:ascii="楷体" w:hAnsi="楷体" w:eastAsia="楷体" w:cs="Calibri"/>
                <w:szCs w:val="21"/>
              </w:rPr>
              <w:t>单一投资者单个工作日认/申购上限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Calibri"/>
                <w:szCs w:val="21"/>
                <w:lang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F</w:t>
            </w:r>
          </w:p>
        </w:tc>
        <w:tc>
          <w:tcPr>
            <w:tcW w:w="1163" w:type="dxa"/>
            <w:noWrap w:val="0"/>
            <w:vAlign w:val="center"/>
          </w:tcPr>
          <w:p>
            <w:pPr>
              <w:jc w:val="center"/>
              <w:rPr>
                <w:rFonts w:hint="eastAsia" w:ascii="楷体" w:hAnsi="楷体" w:eastAsia="楷体" w:cs="Calibri"/>
                <w:szCs w:val="21"/>
              </w:rPr>
            </w:pPr>
            <w:r>
              <w:rPr>
                <w:rFonts w:hint="eastAsia" w:ascii="楷体" w:hAnsi="楷体" w:eastAsia="楷体"/>
                <w:spacing w:val="-2"/>
                <w:szCs w:val="21"/>
              </w:rPr>
              <w:t>J02534</w:t>
            </w:r>
          </w:p>
        </w:tc>
        <w:tc>
          <w:tcPr>
            <w:tcW w:w="3559" w:type="dxa"/>
            <w:noWrap w:val="0"/>
            <w:vAlign w:val="top"/>
          </w:tcPr>
          <w:p>
            <w:pPr>
              <w:jc w:val="cente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default" w:ascii="楷体" w:hAnsi="楷体" w:eastAsia="楷体" w:cs="宋体"/>
                <w:spacing w:val="-2"/>
                <w:szCs w:val="21"/>
                <w:lang w:val="en-US" w:eastAsia="zh-CN"/>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G</w:t>
            </w:r>
          </w:p>
        </w:tc>
        <w:tc>
          <w:tcPr>
            <w:tcW w:w="1163" w:type="dxa"/>
            <w:noWrap w:val="0"/>
            <w:vAlign w:val="center"/>
          </w:tcPr>
          <w:p>
            <w:pPr>
              <w:jc w:val="center"/>
              <w:rPr>
                <w:rFonts w:hint="eastAsia" w:ascii="楷体" w:hAnsi="楷体" w:eastAsia="楷体" w:cs="Calibri"/>
                <w:kern w:val="2"/>
                <w:sz w:val="21"/>
                <w:szCs w:val="21"/>
                <w:lang w:val="en-US" w:eastAsia="zh-CN" w:bidi="ar-SA"/>
              </w:rPr>
            </w:pPr>
            <w:r>
              <w:rPr>
                <w:rFonts w:hint="eastAsia" w:ascii="楷体" w:hAnsi="楷体" w:eastAsia="楷体"/>
                <w:spacing w:val="-2"/>
                <w:szCs w:val="21"/>
              </w:rPr>
              <w:t>J02535</w:t>
            </w:r>
          </w:p>
        </w:tc>
        <w:tc>
          <w:tcPr>
            <w:tcW w:w="3559" w:type="dxa"/>
            <w:noWrap w:val="0"/>
            <w:vAlign w:val="top"/>
          </w:tcPr>
          <w:p>
            <w:pPr>
              <w:jc w:val="center"/>
              <w:rPr>
                <w:rFonts w:hint="eastAsia"/>
                <w:kern w:val="2"/>
                <w:sz w:val="21"/>
                <w:szCs w:val="22"/>
                <w:lang w:val="en-US" w:eastAsia="zh-CN" w:bidi="ar-SA"/>
              </w:rP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w:t>
            </w:r>
            <w:r>
              <w:rPr>
                <w:rFonts w:hint="eastAsia" w:ascii="楷体" w:hAnsi="楷体" w:eastAsia="楷体" w:cs="宋体"/>
                <w:spacing w:val="-2"/>
                <w:szCs w:val="21"/>
                <w:lang w:val="en-US" w:eastAsia="zh-CN"/>
              </w:rPr>
              <w:t>JS鑫福款</w:t>
            </w:r>
          </w:p>
        </w:tc>
        <w:tc>
          <w:tcPr>
            <w:tcW w:w="1163" w:type="dxa"/>
            <w:noWrap w:val="0"/>
            <w:vAlign w:val="center"/>
          </w:tcPr>
          <w:p>
            <w:pPr>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J03369</w:t>
            </w:r>
          </w:p>
        </w:tc>
        <w:tc>
          <w:tcPr>
            <w:tcW w:w="3559" w:type="dxa"/>
            <w:noWrap w:val="0"/>
            <w:vAlign w:val="top"/>
          </w:tcPr>
          <w:p>
            <w:pPr>
              <w:jc w:val="center"/>
              <w:rPr>
                <w:rFonts w:hint="eastAsia" w:ascii="楷体" w:hAnsi="楷体" w:eastAsia="楷体" w:cs="Calibri"/>
                <w:szCs w:val="21"/>
              </w:rPr>
            </w:pPr>
            <w:r>
              <w:rPr>
                <w:rFonts w:hint="eastAsia" w:ascii="楷体" w:hAnsi="楷体" w:eastAsia="楷体" w:cs="Calibri"/>
                <w:szCs w:val="21"/>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eastAsia="zh-CN"/>
              </w:rPr>
              <w:t>苏银理财恒源最短持有7天H</w:t>
            </w:r>
          </w:p>
        </w:tc>
        <w:tc>
          <w:tcPr>
            <w:tcW w:w="1163" w:type="dxa"/>
            <w:noWrap w:val="0"/>
            <w:vAlign w:val="center"/>
          </w:tcPr>
          <w:p>
            <w:pPr>
              <w:tabs>
                <w:tab w:val="left" w:pos="993"/>
              </w:tabs>
              <w:jc w:val="center"/>
              <w:rPr>
                <w:rFonts w:hint="eastAsia" w:ascii="楷体" w:hAnsi="楷体" w:eastAsia="楷体"/>
                <w:spacing w:val="-2"/>
                <w:szCs w:val="21"/>
              </w:rPr>
            </w:pPr>
            <w:r>
              <w:rPr>
                <w:rFonts w:hint="eastAsia" w:ascii="楷体" w:hAnsi="楷体" w:eastAsia="楷体"/>
                <w:spacing w:val="-2"/>
                <w:szCs w:val="21"/>
              </w:rPr>
              <w:t>J03542</w:t>
            </w:r>
          </w:p>
        </w:tc>
        <w:tc>
          <w:tcPr>
            <w:tcW w:w="3559" w:type="dxa"/>
            <w:noWrap w:val="0"/>
            <w:vAlign w:val="top"/>
          </w:tcPr>
          <w:p>
            <w:pPr>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1亿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eastAsia="zh-CN"/>
              </w:rPr>
              <w:t>苏银理财恒源最短持有7天（芙蓉锦程·优选）</w:t>
            </w:r>
          </w:p>
        </w:tc>
        <w:tc>
          <w:tcPr>
            <w:tcW w:w="1163" w:type="dxa"/>
            <w:noWrap w:val="0"/>
            <w:vAlign w:val="center"/>
          </w:tcPr>
          <w:p>
            <w:pPr>
              <w:tabs>
                <w:tab w:val="left" w:pos="993"/>
              </w:tabs>
              <w:jc w:val="center"/>
              <w:rPr>
                <w:rFonts w:hint="eastAsia" w:ascii="楷体" w:hAnsi="楷体" w:eastAsia="楷体"/>
                <w:spacing w:val="-2"/>
                <w:kern w:val="2"/>
                <w:sz w:val="21"/>
                <w:szCs w:val="21"/>
                <w:lang w:val="en-US" w:eastAsia="zh-CN" w:bidi="ar-SA"/>
              </w:rPr>
            </w:pPr>
            <w:r>
              <w:rPr>
                <w:rFonts w:hint="eastAsia" w:ascii="楷体" w:hAnsi="楷体" w:eastAsia="楷体"/>
                <w:spacing w:val="-2"/>
                <w:szCs w:val="21"/>
              </w:rPr>
              <w:t>J03603</w:t>
            </w:r>
          </w:p>
        </w:tc>
        <w:tc>
          <w:tcPr>
            <w:tcW w:w="3559" w:type="dxa"/>
            <w:noWrap w:val="0"/>
            <w:vAlign w:val="center"/>
          </w:tcPr>
          <w:p>
            <w:pPr>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1亿</w:t>
            </w:r>
          </w:p>
        </w:tc>
      </w:tr>
    </w:tbl>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认购份额登记日：本理财产品于2</w:t>
      </w:r>
      <w:r>
        <w:rPr>
          <w:rFonts w:ascii="楷体" w:hAnsi="楷体" w:eastAsia="楷体" w:cs="Calibri"/>
          <w:sz w:val="24"/>
          <w:szCs w:val="24"/>
        </w:rPr>
        <w:t>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7</w:t>
      </w:r>
      <w:r>
        <w:rPr>
          <w:rFonts w:hint="eastAsia" w:ascii="楷体" w:hAnsi="楷体" w:eastAsia="楷体" w:cs="Calibri"/>
          <w:sz w:val="24"/>
          <w:szCs w:val="24"/>
        </w:rPr>
        <w:t>月</w:t>
      </w:r>
      <w:r>
        <w:rPr>
          <w:rFonts w:hint="eastAsia" w:ascii="楷体" w:hAnsi="楷体" w:eastAsia="楷体" w:cs="Calibri"/>
          <w:sz w:val="24"/>
          <w:szCs w:val="24"/>
          <w:lang w:val="en-US" w:eastAsia="zh-CN"/>
        </w:rPr>
        <w:t>20</w:t>
      </w:r>
      <w:r>
        <w:rPr>
          <w:rFonts w:hint="eastAsia" w:ascii="楷体" w:hAnsi="楷体" w:eastAsia="楷体" w:cs="Calibri"/>
          <w:sz w:val="24"/>
          <w:szCs w:val="24"/>
        </w:rPr>
        <w:t>日进行份额登记。</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产品申购、赎回</w:t>
      </w:r>
    </w:p>
    <w:p>
      <w:pPr>
        <w:numPr>
          <w:ilvl w:val="0"/>
          <w:numId w:val="1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申购期：本产品投资封闭期结束后的每日00:00至24:00为申购期，投资者可在申购期提交申购申请。</w:t>
      </w:r>
      <w:r>
        <w:rPr>
          <w:rFonts w:hint="eastAsia" w:ascii="楷体" w:hAnsi="楷体" w:eastAsia="楷体" w:cs="Calibri"/>
          <w:sz w:val="24"/>
          <w:szCs w:val="24"/>
          <w:highlight w:val="none"/>
        </w:rPr>
        <w:t>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1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“未知价”原则：投资者申购本理财产品时，采用“未知价”原则，以投资者申购受理日当日产品单位净值为准计算申购份额。</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1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339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pct"/>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T日系统实时受理并冻结资金</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1994"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1462" w:type="pct"/>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申购日及时间</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申购确认日</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申购日及时间</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周一0:00-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周二</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周一</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周二0:00-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周二</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周三0:00-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周三</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周四0:00-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周四</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周五0:00-</w:t>
            </w:r>
            <w:r>
              <w:rPr>
                <w:rFonts w:hint="eastAsia" w:ascii="楷体" w:hAnsi="楷体" w:eastAsia="楷体" w:cs="Calibri"/>
                <w:szCs w:val="21"/>
                <w:lang w:eastAsia="zh-CN"/>
              </w:rPr>
              <w:t>17:00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下周一</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周五</w:t>
            </w:r>
            <w:r>
              <w:rPr>
                <w:rFonts w:hint="eastAsia" w:ascii="楷体" w:hAnsi="楷体" w:eastAsia="楷体" w:cs="Calibri"/>
                <w:szCs w:val="21"/>
                <w:lang w:eastAsia="zh-CN"/>
              </w:rPr>
              <w:t>17:00</w:t>
            </w:r>
            <w:r>
              <w:rPr>
                <w:rFonts w:hint="eastAsia" w:ascii="楷体" w:hAnsi="楷体" w:eastAsia="楷体" w:cs="Calibri"/>
                <w:szCs w:val="21"/>
              </w:rPr>
              <w:t>-24:00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周六0:00-24:00</w:t>
            </w:r>
          </w:p>
        </w:tc>
        <w:tc>
          <w:tcPr>
            <w:tcW w:w="1249"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周日 0:00-24:00</w:t>
            </w:r>
          </w:p>
        </w:tc>
        <w:tc>
          <w:tcPr>
            <w:tcW w:w="1250" w:type="pct"/>
            <w:noWrap w:val="0"/>
            <w:vAlign w:val="top"/>
          </w:tcPr>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下周二</w:t>
            </w:r>
          </w:p>
        </w:tc>
      </w:tr>
    </w:tbl>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p>
    <w:p>
      <w:pPr>
        <w:numPr>
          <w:ilvl w:val="0"/>
          <w:numId w:val="1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1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1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1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7"/>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赎回期：本产品投资封闭期结束后的每日00:00至24:00为赎回期，投资者可在赎回期提交赎回申请。投资者份额确认后持有时间超过</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个自然日，投资者可自主发起赎回，工作日1</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0</w:t>
      </w:r>
      <w:r>
        <w:rPr>
          <w:rFonts w:hint="eastAsia" w:ascii="楷体" w:hAnsi="楷体" w:eastAsia="楷体" w:cs="Calibri"/>
          <w:sz w:val="24"/>
          <w:szCs w:val="24"/>
          <w:highlight w:val="none"/>
        </w:rPr>
        <w:t>0前赎回T+1确认，1</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0</w:t>
      </w:r>
      <w:r>
        <w:rPr>
          <w:rFonts w:hint="eastAsia" w:ascii="楷体" w:hAnsi="楷体" w:eastAsia="楷体" w:cs="Calibri"/>
          <w:sz w:val="24"/>
          <w:szCs w:val="24"/>
          <w:highlight w:val="none"/>
        </w:rPr>
        <w:t>0后的赎回为预受理，视同下一工作日赎回。</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17"/>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赎回原则</w:t>
      </w:r>
    </w:p>
    <w:p>
      <w:pPr>
        <w:numPr>
          <w:ilvl w:val="0"/>
          <w:numId w:val="18"/>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“未知价”原则：投资者赎回本理财产品时，采用“未知价”原则，以投资者赎回受理日当日产品单位净值为准计算赎回兑付金额。</w:t>
      </w:r>
    </w:p>
    <w:p>
      <w:pPr>
        <w:numPr>
          <w:ilvl w:val="0"/>
          <w:numId w:val="18"/>
        </w:numPr>
        <w:tabs>
          <w:tab w:val="left" w:pos="1092"/>
        </w:tabs>
        <w:ind w:left="0" w:firstLine="480" w:firstLineChars="200"/>
        <w:rPr>
          <w:rFonts w:ascii="楷体" w:hAnsi="楷体" w:eastAsia="楷体" w:cs="Calibri"/>
          <w:sz w:val="22"/>
          <w:szCs w:val="24"/>
          <w:highlight w:val="none"/>
        </w:rPr>
      </w:pPr>
      <w:r>
        <w:rPr>
          <w:rFonts w:hint="eastAsia" w:ascii="楷体" w:hAnsi="楷体" w:eastAsia="楷体" w:cs="Calibri"/>
          <w:sz w:val="24"/>
          <w:szCs w:val="24"/>
          <w:highlight w:val="none"/>
        </w:rPr>
        <w:t>“份额赎回”原则：本理财产品赎回以份额赎回，赎回金额=赎回份额×产品单位净值。</w:t>
      </w:r>
      <w:r>
        <w:rPr>
          <w:rFonts w:hint="eastAsia" w:ascii="楷体" w:hAnsi="楷体" w:eastAsia="楷体" w:cs="宋体"/>
          <w:spacing w:val="-2"/>
          <w:sz w:val="24"/>
          <w:szCs w:val="28"/>
          <w:highlight w:val="none"/>
        </w:rPr>
        <w:t>产品</w:t>
      </w:r>
      <w:r>
        <w:rPr>
          <w:rFonts w:ascii="楷体" w:hAnsi="楷体" w:eastAsia="楷体" w:cs="宋体"/>
          <w:spacing w:val="-2"/>
          <w:sz w:val="24"/>
          <w:szCs w:val="28"/>
          <w:highlight w:val="none"/>
        </w:rPr>
        <w:t>的超额业绩报酬</w:t>
      </w:r>
      <w:r>
        <w:rPr>
          <w:rFonts w:hint="eastAsia" w:ascii="楷体" w:hAnsi="楷体" w:eastAsia="楷体" w:cs="宋体"/>
          <w:spacing w:val="-2"/>
          <w:sz w:val="24"/>
          <w:szCs w:val="28"/>
          <w:highlight w:val="none"/>
        </w:rPr>
        <w:t>等</w:t>
      </w:r>
      <w:r>
        <w:rPr>
          <w:rFonts w:ascii="楷体" w:hAnsi="楷体" w:eastAsia="楷体" w:cs="宋体"/>
          <w:spacing w:val="-2"/>
          <w:sz w:val="24"/>
          <w:szCs w:val="28"/>
          <w:highlight w:val="none"/>
        </w:rPr>
        <w:t>费用（</w:t>
      </w:r>
      <w:r>
        <w:rPr>
          <w:rFonts w:hint="eastAsia" w:ascii="楷体" w:hAnsi="楷体" w:eastAsia="楷体" w:cs="宋体"/>
          <w:spacing w:val="-2"/>
          <w:sz w:val="24"/>
          <w:szCs w:val="28"/>
          <w:highlight w:val="none"/>
        </w:rPr>
        <w:t>如有</w:t>
      </w:r>
      <w:r>
        <w:rPr>
          <w:rFonts w:ascii="楷体" w:hAnsi="楷体" w:eastAsia="楷体" w:cs="宋体"/>
          <w:spacing w:val="-2"/>
          <w:sz w:val="24"/>
          <w:szCs w:val="28"/>
          <w:highlight w:val="none"/>
        </w:rPr>
        <w:t>）</w:t>
      </w:r>
      <w:r>
        <w:rPr>
          <w:rFonts w:hint="eastAsia" w:ascii="楷体" w:hAnsi="楷体" w:eastAsia="楷体" w:cs="宋体"/>
          <w:spacing w:val="-2"/>
          <w:sz w:val="24"/>
          <w:szCs w:val="28"/>
          <w:highlight w:val="none"/>
        </w:rPr>
        <w:t>将从</w:t>
      </w:r>
      <w:r>
        <w:rPr>
          <w:rFonts w:ascii="楷体" w:hAnsi="楷体" w:eastAsia="楷体" w:cs="宋体"/>
          <w:spacing w:val="-2"/>
          <w:sz w:val="24"/>
          <w:szCs w:val="28"/>
          <w:highlight w:val="none"/>
        </w:rPr>
        <w:t>赎回金额中扣除</w:t>
      </w:r>
      <w:r>
        <w:rPr>
          <w:rFonts w:hint="eastAsia" w:ascii="楷体" w:hAnsi="楷体" w:eastAsia="楷体" w:cs="宋体"/>
          <w:spacing w:val="-2"/>
          <w:sz w:val="24"/>
          <w:szCs w:val="28"/>
          <w:highlight w:val="none"/>
        </w:rPr>
        <w:t>，</w:t>
      </w:r>
      <w:r>
        <w:rPr>
          <w:rFonts w:ascii="楷体" w:hAnsi="楷体" w:eastAsia="楷体" w:cs="宋体"/>
          <w:spacing w:val="-2"/>
          <w:sz w:val="24"/>
          <w:szCs w:val="28"/>
          <w:highlight w:val="none"/>
        </w:rPr>
        <w:t>详见“</w:t>
      </w:r>
      <w:r>
        <w:rPr>
          <w:rFonts w:hint="eastAsia" w:ascii="楷体" w:hAnsi="楷体" w:eastAsia="楷体" w:cs="宋体"/>
          <w:spacing w:val="-2"/>
          <w:sz w:val="24"/>
          <w:szCs w:val="28"/>
          <w:highlight w:val="none"/>
        </w:rPr>
        <w:t>十一</w:t>
      </w:r>
      <w:r>
        <w:rPr>
          <w:rFonts w:ascii="楷体" w:hAnsi="楷体" w:eastAsia="楷体" w:cs="宋体"/>
          <w:spacing w:val="-2"/>
          <w:sz w:val="24"/>
          <w:szCs w:val="28"/>
          <w:highlight w:val="none"/>
        </w:rPr>
        <w:t>、</w:t>
      </w:r>
      <w:r>
        <w:rPr>
          <w:rFonts w:hint="eastAsia" w:ascii="楷体" w:hAnsi="楷体" w:eastAsia="楷体" w:cs="宋体"/>
          <w:spacing w:val="-2"/>
          <w:sz w:val="24"/>
          <w:szCs w:val="28"/>
          <w:highlight w:val="none"/>
        </w:rPr>
        <w:t>产品</w:t>
      </w:r>
      <w:r>
        <w:rPr>
          <w:rFonts w:ascii="楷体" w:hAnsi="楷体" w:eastAsia="楷体" w:cs="宋体"/>
          <w:spacing w:val="-2"/>
          <w:sz w:val="24"/>
          <w:szCs w:val="28"/>
          <w:highlight w:val="none"/>
        </w:rPr>
        <w:t>运作”</w:t>
      </w:r>
      <w:r>
        <w:rPr>
          <w:rFonts w:hint="eastAsia" w:ascii="楷体" w:hAnsi="楷体" w:eastAsia="楷体" w:cs="宋体"/>
          <w:spacing w:val="-2"/>
          <w:sz w:val="24"/>
          <w:szCs w:val="28"/>
          <w:highlight w:val="none"/>
        </w:rPr>
        <w:t>计算示例。</w:t>
      </w:r>
    </w:p>
    <w:p>
      <w:pPr>
        <w:numPr>
          <w:ilvl w:val="0"/>
          <w:numId w:val="1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限制：本产品每个开放日投资者净赎回额（赎回申请份额总数扣除申购申请份额总数）超过本产品上一工作日日终份额10%时，即为发生巨额赎回。产品管理人可以根据本产品当时的资产组合状况决定采取全额赎回、部分赎回、延期办理巨额赎回等措施，产品管理人将在采取相关措施后3个工作日内进行信息披露。</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详见下文“巨额赎回的认定及处理”</w:t>
      </w:r>
      <w:r>
        <w:rPr>
          <w:rFonts w:hint="eastAsia" w:ascii="楷体" w:hAnsi="楷体" w:eastAsia="楷体" w:cs="Calibri"/>
          <w:sz w:val="24"/>
          <w:szCs w:val="24"/>
          <w:highlight w:val="none"/>
          <w:lang w:eastAsia="zh-CN"/>
        </w:rPr>
        <w:t>）</w:t>
      </w:r>
    </w:p>
    <w:p>
      <w:pPr>
        <w:numPr>
          <w:ilvl w:val="0"/>
          <w:numId w:val="1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赎回资金到账：实际赎回日后</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个工作日内到达投资者资金账户。</w:t>
      </w:r>
    </w:p>
    <w:p>
      <w:pPr>
        <w:numPr>
          <w:ilvl w:val="0"/>
          <w:numId w:val="13"/>
        </w:numPr>
        <w:tabs>
          <w:tab w:val="left" w:pos="993"/>
        </w:tabs>
        <w:ind w:left="0" w:firstLine="482" w:firstLineChars="200"/>
        <w:outlineLvl w:val="1"/>
        <w:rPr>
          <w:rFonts w:hint="eastAsia" w:ascii="楷体" w:hAnsi="楷体" w:eastAsia="楷体" w:cs="Calibri"/>
          <w:b/>
          <w:sz w:val="24"/>
          <w:szCs w:val="24"/>
          <w:highlight w:val="none"/>
        </w:rPr>
      </w:pPr>
      <w:r>
        <w:rPr>
          <w:rFonts w:hint="eastAsia" w:ascii="楷体" w:hAnsi="楷体" w:eastAsia="楷体" w:cs="Calibri"/>
          <w:b/>
          <w:sz w:val="24"/>
          <w:szCs w:val="24"/>
          <w:highlight w:val="none"/>
        </w:rPr>
        <w:t>巨额赎回的认定及处理</w:t>
      </w:r>
    </w:p>
    <w:p>
      <w:pPr>
        <w:numPr>
          <w:ilvl w:val="0"/>
          <w:numId w:val="19"/>
        </w:numPr>
        <w:tabs>
          <w:tab w:val="left" w:pos="728"/>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巨额赎回的认定</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理财产品每个开放日投资者净赎回额（赎回申请份额总数扣除申购申请份额总数）超过本产品上一工作日日终份额10%时，即为发生巨额赎回。</w:t>
      </w:r>
    </w:p>
    <w:p>
      <w:pPr>
        <w:numPr>
          <w:ilvl w:val="0"/>
          <w:numId w:val="19"/>
        </w:numPr>
        <w:tabs>
          <w:tab w:val="left" w:pos="728"/>
        </w:tabs>
        <w:ind w:left="0" w:firstLine="480" w:firstLineChars="200"/>
        <w:outlineLvl w:val="2"/>
        <w:rPr>
          <w:rFonts w:hint="eastAsia" w:ascii="楷体" w:hAnsi="楷体" w:eastAsia="楷体"/>
          <w:sz w:val="24"/>
          <w:szCs w:val="24"/>
          <w:highlight w:val="none"/>
        </w:rPr>
      </w:pPr>
      <w:r>
        <w:rPr>
          <w:rFonts w:hint="eastAsia" w:ascii="楷体" w:hAnsi="楷体" w:eastAsia="楷体" w:cs="Calibri"/>
          <w:sz w:val="24"/>
          <w:szCs w:val="24"/>
          <w:highlight w:val="none"/>
        </w:rPr>
        <w:t>巨额赎回的处理</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产品管理人可以根据本产品当时的资产组合状况决定采取全额赎回、部分赎回、延期办理巨额赎回等措施，产品管理人将在采取相关措施后3个工作日内进行信息披露。</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1）</w:t>
      </w:r>
      <w:r>
        <w:rPr>
          <w:rFonts w:hint="eastAsia" w:ascii="楷体" w:hAnsi="楷体" w:eastAsia="楷体"/>
          <w:sz w:val="24"/>
          <w:szCs w:val="24"/>
          <w:highlight w:val="none"/>
        </w:rPr>
        <w:t>全额赎回：当产品管理人有能力兑付投资者的全部赎回申请时，将在申请确认日按投资者申请赎回份额执行正常赎回程序。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2）</w:t>
      </w:r>
      <w:r>
        <w:rPr>
          <w:rFonts w:hint="eastAsia" w:ascii="楷体" w:hAnsi="楷体" w:eastAsia="楷体"/>
          <w:sz w:val="24"/>
          <w:szCs w:val="24"/>
          <w:highlight w:val="none"/>
        </w:rPr>
        <w:t>部分赎回：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3）</w:t>
      </w:r>
      <w:r>
        <w:rPr>
          <w:rFonts w:hint="eastAsia" w:ascii="楷体" w:hAnsi="楷体" w:eastAsia="楷体"/>
          <w:sz w:val="24"/>
          <w:szCs w:val="24"/>
          <w:highlight w:val="none"/>
        </w:rPr>
        <w:t>对于该开放日内净赎回额超过本产品上一工作日日终份额10%时，管理人有权拒绝超过10%以上部分的赎回申请。未确认受理的赎回申请份额，投资者可选择将当日未获受理部分予以撤销（巨额赎回处理方式具体以</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机构展示为准），未选择撤销的赎回申请，产品管理人可以延迟至下一开放日处理，转入下一开放日的赎回申请不享有优先确认权。</w:t>
      </w:r>
    </w:p>
    <w:p>
      <w:pPr>
        <w:numPr>
          <w:ilvl w:val="0"/>
          <w:numId w:val="0"/>
        </w:numPr>
        <w:tabs>
          <w:tab w:val="left" w:pos="1092"/>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连续2个以上开放日发生巨额赎回的，管理人除有权选择全额赎回或部分赎回等措施外，对于已经接受的赎回申请，管理人可以延缓支付赎回款项，但延缓期限不得超过20个工作日。</w:t>
      </w:r>
    </w:p>
    <w:p>
      <w:pPr>
        <w:tabs>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赎回资金到账：未发生</w:t>
      </w:r>
      <w:r>
        <w:rPr>
          <w:rFonts w:ascii="楷体" w:hAnsi="楷体" w:eastAsia="楷体" w:cs="Calibri"/>
          <w:sz w:val="24"/>
          <w:szCs w:val="24"/>
          <w:highlight w:val="none"/>
        </w:rPr>
        <w:t>巨额赎回的情况下，</w:t>
      </w:r>
      <w:r>
        <w:rPr>
          <w:rFonts w:hint="eastAsia" w:ascii="楷体" w:hAnsi="楷体" w:eastAsia="楷体" w:cs="Calibri"/>
          <w:sz w:val="24"/>
          <w:szCs w:val="24"/>
          <w:highlight w:val="none"/>
        </w:rPr>
        <w:t>实际赎回确认日后</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个工作日内到达投资者资金账户。</w:t>
      </w:r>
    </w:p>
    <w:p>
      <w:pPr>
        <w:numPr>
          <w:ilvl w:val="0"/>
          <w:numId w:val="13"/>
        </w:numPr>
        <w:tabs>
          <w:tab w:val="left" w:pos="993"/>
        </w:tabs>
        <w:ind w:left="0" w:firstLine="482" w:firstLineChars="200"/>
        <w:outlineLvl w:val="1"/>
        <w:rPr>
          <w:rFonts w:hint="eastAsia" w:ascii="楷体" w:hAnsi="楷体" w:eastAsia="楷体" w:cs="Calibri"/>
          <w:b/>
          <w:sz w:val="24"/>
          <w:szCs w:val="24"/>
          <w:highlight w:val="none"/>
        </w:rPr>
      </w:pPr>
      <w:r>
        <w:rPr>
          <w:rFonts w:hint="eastAsia" w:ascii="楷体" w:hAnsi="楷体" w:eastAsia="楷体" w:cs="Calibri"/>
          <w:b/>
          <w:sz w:val="24"/>
          <w:szCs w:val="24"/>
          <w:highlight w:val="none"/>
        </w:rPr>
        <w:t>特殊情形及处理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keepNext w:val="0"/>
        <w:keepLines w:val="0"/>
        <w:pageBreakBefore w:val="0"/>
        <w:widowControl w:val="0"/>
        <w:numPr>
          <w:ilvl w:val="0"/>
          <w:numId w:val="0"/>
        </w:numPr>
        <w:tabs>
          <w:tab w:val="left" w:pos="1092"/>
        </w:tabs>
        <w:kinsoku/>
        <w:wordWrap/>
        <w:overflowPunct/>
        <w:topLinePunct w:val="0"/>
        <w:autoSpaceDE/>
        <w:autoSpaceDN/>
        <w:bidi w:val="0"/>
        <w:adjustRightInd/>
        <w:snapToGrid/>
        <w:ind w:leftChars="0" w:firstLine="480" w:firstLineChars="200"/>
        <w:textAlignment w:val="auto"/>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r>
        <w:rPr>
          <w:rFonts w:hint="eastAsia" w:ascii="楷体" w:hAnsi="楷体" w:eastAsia="楷体" w:cs="Calibri"/>
          <w:sz w:val="24"/>
          <w:szCs w:val="24"/>
        </w:rPr>
        <w:t>。</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产品估值</w:t>
      </w:r>
    </w:p>
    <w:p>
      <w:pPr>
        <w:numPr>
          <w:ilvl w:val="0"/>
          <w:numId w:val="20"/>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本产品所拥有的各类证券、银行存款本息、应收款项及其它资产及负债。</w:t>
      </w:r>
    </w:p>
    <w:p>
      <w:pPr>
        <w:numPr>
          <w:ilvl w:val="0"/>
          <w:numId w:val="2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估值要求</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本产品资产估值的目的是客观、准确的反映资产净值，确定理财产品资产净值，并为理财产品的认</w:t>
      </w:r>
      <w:r>
        <w:rPr>
          <w:rFonts w:ascii="楷体" w:hAnsi="楷体" w:eastAsia="楷体" w:cs="Calibri"/>
          <w:sz w:val="24"/>
          <w:szCs w:val="24"/>
        </w:rPr>
        <w:t>/</w:t>
      </w:r>
      <w:r>
        <w:rPr>
          <w:rFonts w:hint="eastAsia" w:ascii="楷体" w:hAnsi="楷体" w:eastAsia="楷体" w:cs="Calibri"/>
          <w:sz w:val="24"/>
          <w:szCs w:val="24"/>
        </w:rPr>
        <w:t>申购、赎回和兑付提供计价依据。</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r>
        <w:rPr>
          <w:rFonts w:hint="eastAsia" w:ascii="楷体" w:hAnsi="楷体" w:eastAsia="楷体" w:cs="Calibri"/>
          <w:sz w:val="24"/>
          <w:szCs w:val="24"/>
        </w:rPr>
        <w:t>。</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p>
    <w:p>
      <w:pPr>
        <w:numPr>
          <w:ilvl w:val="0"/>
          <w:numId w:val="2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估值方法</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货币市场基金：以估值截止时间点能够取得的最新每万份收益进行估值。</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产品运作</w:t>
      </w:r>
    </w:p>
    <w:p>
      <w:pPr>
        <w:numPr>
          <w:ilvl w:val="0"/>
          <w:numId w:val="2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2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ascii="楷体" w:hAnsi="楷体" w:eastAsia="楷体"/>
          <w:sz w:val="24"/>
          <w:szCs w:val="24"/>
        </w:rPr>
      </w:pPr>
      <w:r>
        <w:rPr>
          <w:rFonts w:hint="eastAsia" w:ascii="楷体" w:hAnsi="楷体" w:eastAsia="楷体"/>
          <w:sz w:val="24"/>
          <w:szCs w:val="24"/>
        </w:rPr>
        <w:t>赎回金额=赎回份额*赎回受理日产品单位净值</w:t>
      </w:r>
    </w:p>
    <w:p>
      <w:pPr>
        <w:ind w:firstLine="472" w:firstLineChars="200"/>
        <w:rPr>
          <w:rFonts w:hint="eastAsia" w:ascii="楷体" w:hAnsi="楷体" w:eastAsia="楷体"/>
          <w:sz w:val="24"/>
          <w:szCs w:val="24"/>
        </w:rPr>
      </w:pPr>
      <w:r>
        <w:rPr>
          <w:rFonts w:hint="eastAsia" w:ascii="楷体" w:hAnsi="楷体" w:eastAsia="楷体" w:cs="宋体"/>
          <w:spacing w:val="-2"/>
          <w:sz w:val="24"/>
          <w:szCs w:val="28"/>
        </w:rPr>
        <w:t>产品</w:t>
      </w:r>
      <w:r>
        <w:rPr>
          <w:rFonts w:ascii="楷体" w:hAnsi="楷体" w:eastAsia="楷体" w:cs="宋体"/>
          <w:spacing w:val="-2"/>
          <w:sz w:val="24"/>
          <w:szCs w:val="28"/>
        </w:rPr>
        <w:t>的超额业绩报酬</w:t>
      </w:r>
      <w:r>
        <w:rPr>
          <w:rFonts w:hint="eastAsia" w:ascii="楷体" w:hAnsi="楷体" w:eastAsia="楷体" w:cs="宋体"/>
          <w:spacing w:val="-2"/>
          <w:sz w:val="24"/>
          <w:szCs w:val="28"/>
        </w:rPr>
        <w:t>等</w:t>
      </w:r>
      <w:r>
        <w:rPr>
          <w:rFonts w:ascii="楷体" w:hAnsi="楷体" w:eastAsia="楷体" w:cs="宋体"/>
          <w:spacing w:val="-2"/>
          <w:sz w:val="24"/>
          <w:szCs w:val="28"/>
        </w:rPr>
        <w:t>费用（</w:t>
      </w:r>
      <w:r>
        <w:rPr>
          <w:rFonts w:hint="eastAsia" w:ascii="楷体" w:hAnsi="楷体" w:eastAsia="楷体" w:cs="宋体"/>
          <w:spacing w:val="-2"/>
          <w:sz w:val="24"/>
          <w:szCs w:val="28"/>
        </w:rPr>
        <w:t>如有</w:t>
      </w:r>
      <w:r>
        <w:rPr>
          <w:rFonts w:ascii="楷体" w:hAnsi="楷体" w:eastAsia="楷体" w:cs="宋体"/>
          <w:spacing w:val="-2"/>
          <w:sz w:val="24"/>
          <w:szCs w:val="28"/>
        </w:rPr>
        <w:t>）</w:t>
      </w:r>
      <w:r>
        <w:rPr>
          <w:rFonts w:hint="eastAsia" w:ascii="楷体" w:hAnsi="楷体" w:eastAsia="楷体" w:cs="宋体"/>
          <w:spacing w:val="-2"/>
          <w:sz w:val="24"/>
          <w:szCs w:val="28"/>
        </w:rPr>
        <w:t>将从</w:t>
      </w:r>
      <w:r>
        <w:rPr>
          <w:rFonts w:ascii="楷体" w:hAnsi="楷体" w:eastAsia="楷体" w:cs="宋体"/>
          <w:spacing w:val="-2"/>
          <w:sz w:val="24"/>
          <w:szCs w:val="28"/>
        </w:rPr>
        <w:t>赎回金额中扣除</w:t>
      </w:r>
      <w:r>
        <w:rPr>
          <w:rFonts w:hint="eastAsia" w:ascii="楷体" w:hAnsi="楷体" w:eastAsia="楷体"/>
          <w:sz w:val="24"/>
          <w:szCs w:val="24"/>
        </w:rPr>
        <w:t>，赎回金额以四舍五入的方法保留到小数点后两位</w:t>
      </w:r>
    </w:p>
    <w:p>
      <w:pPr>
        <w:numPr>
          <w:ilvl w:val="0"/>
          <w:numId w:val="23"/>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numPr>
          <w:ilvl w:val="0"/>
          <w:numId w:val="24"/>
        </w:numPr>
        <w:tabs>
          <w:tab w:val="left" w:pos="728"/>
        </w:tabs>
        <w:ind w:left="0" w:firstLine="480" w:firstLineChars="200"/>
        <w:outlineLvl w:val="2"/>
        <w:rPr>
          <w:rFonts w:ascii="楷体" w:hAnsi="楷体" w:eastAsia="楷体" w:cs="Calibri"/>
          <w:sz w:val="24"/>
          <w:szCs w:val="24"/>
        </w:rPr>
      </w:pPr>
      <w:r>
        <w:rPr>
          <w:rFonts w:hint="eastAsia" w:ascii="楷体" w:hAnsi="楷体" w:eastAsia="楷体" w:cs="Calibri"/>
          <w:sz w:val="24"/>
          <w:szCs w:val="24"/>
        </w:rPr>
        <w:t>情景一</w:t>
      </w:r>
    </w:p>
    <w:p>
      <w:pPr>
        <w:ind w:firstLine="480" w:firstLineChars="200"/>
        <w:rPr>
          <w:rFonts w:hint="eastAsia" w:ascii="楷体" w:hAnsi="楷体" w:eastAsia="楷体"/>
          <w:sz w:val="24"/>
          <w:szCs w:val="24"/>
          <w:lang w:eastAsia="zh-CN"/>
        </w:rPr>
      </w:pPr>
      <w:r>
        <w:rPr>
          <w:rFonts w:ascii="楷体" w:hAnsi="楷体" w:eastAsia="楷体"/>
          <w:sz w:val="24"/>
          <w:szCs w:val="24"/>
        </w:rPr>
        <w:t>假定投资者</w:t>
      </w:r>
      <w:r>
        <w:rPr>
          <w:rFonts w:hint="eastAsia" w:ascii="楷体" w:hAnsi="楷体" w:eastAsia="楷体"/>
          <w:sz w:val="24"/>
          <w:szCs w:val="24"/>
        </w:rPr>
        <w:t>申购1</w:t>
      </w:r>
      <w:r>
        <w:rPr>
          <w:rFonts w:ascii="楷体" w:hAnsi="楷体" w:eastAsia="楷体"/>
          <w:sz w:val="24"/>
          <w:szCs w:val="24"/>
        </w:rPr>
        <w:t>0000元，</w:t>
      </w:r>
      <w:r>
        <w:rPr>
          <w:rFonts w:hint="eastAsia" w:ascii="楷体" w:hAnsi="楷体" w:eastAsia="楷体"/>
          <w:sz w:val="24"/>
          <w:szCs w:val="24"/>
        </w:rPr>
        <w:t>对应申购日产品单位净值</w:t>
      </w:r>
      <w:r>
        <w:rPr>
          <w:rFonts w:ascii="楷体" w:hAnsi="楷体" w:eastAsia="楷体"/>
          <w:sz w:val="24"/>
          <w:szCs w:val="24"/>
        </w:rPr>
        <w:t>为1.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客户申购确认份额为9256.40份，</w:t>
      </w:r>
      <w:r>
        <w:rPr>
          <w:rFonts w:hint="eastAsia" w:ascii="楷体" w:hAnsi="楷体" w:eastAsia="楷体"/>
          <w:sz w:val="24"/>
          <w:szCs w:val="24"/>
          <w:lang w:val="en-US" w:eastAsia="zh-CN"/>
        </w:rPr>
        <w:t>持有超过7天后某个赎回日</w:t>
      </w:r>
      <w:r>
        <w:rPr>
          <w:rFonts w:hint="eastAsia" w:ascii="楷体" w:hAnsi="楷体" w:eastAsia="楷体"/>
          <w:sz w:val="24"/>
          <w:szCs w:val="24"/>
        </w:rPr>
        <w:t>投资者提交赎回申请，赎回其所持有全部份额，对应赎回日产品单位净值为1.090221</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w:t>
      </w:r>
      <w:r>
        <w:rPr>
          <w:rFonts w:ascii="楷体" w:hAnsi="楷体" w:eastAsia="楷体"/>
          <w:sz w:val="24"/>
          <w:szCs w:val="24"/>
        </w:rPr>
        <w:t>0000</w:t>
      </w:r>
      <w:r>
        <w:rPr>
          <w:rFonts w:hint="eastAsia" w:ascii="楷体" w:hAnsi="楷体" w:eastAsia="楷体"/>
          <w:sz w:val="24"/>
          <w:szCs w:val="24"/>
        </w:rPr>
        <w:t>/</w:t>
      </w:r>
      <w:r>
        <w:rPr>
          <w:rFonts w:ascii="楷体" w:hAnsi="楷体" w:eastAsia="楷体"/>
          <w:sz w:val="24"/>
          <w:szCs w:val="24"/>
        </w:rPr>
        <w:t>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=9256.40份</w:t>
      </w:r>
    </w:p>
    <w:p>
      <w:pPr>
        <w:ind w:firstLine="480" w:firstLineChars="200"/>
        <w:rPr>
          <w:rFonts w:hint="eastAsia" w:ascii="楷体" w:hAnsi="楷体" w:eastAsia="楷体"/>
          <w:sz w:val="24"/>
          <w:szCs w:val="24"/>
        </w:rPr>
      </w:pPr>
      <w:r>
        <w:rPr>
          <w:rFonts w:hint="eastAsia" w:ascii="楷体" w:hAnsi="楷体" w:eastAsia="楷体"/>
          <w:sz w:val="24"/>
          <w:szCs w:val="24"/>
        </w:rPr>
        <w:t>投资者赎回兑付金额=9256.40</w:t>
      </w:r>
      <w:r>
        <w:rPr>
          <w:rFonts w:ascii="楷体" w:hAnsi="楷体" w:eastAsia="楷体"/>
          <w:sz w:val="24"/>
          <w:szCs w:val="24"/>
        </w:rPr>
        <w:t>×</w:t>
      </w:r>
      <w:r>
        <w:rPr>
          <w:rFonts w:hint="eastAsia" w:ascii="楷体" w:hAnsi="楷体" w:eastAsia="楷体"/>
          <w:sz w:val="24"/>
          <w:szCs w:val="24"/>
        </w:rPr>
        <w:t>1.090221=10091.52元</w:t>
      </w:r>
    </w:p>
    <w:p>
      <w:pPr>
        <w:ind w:firstLine="480" w:firstLineChars="200"/>
        <w:rPr>
          <w:rFonts w:hint="eastAsia" w:ascii="楷体" w:hAnsi="楷体" w:eastAsia="楷体"/>
          <w:sz w:val="24"/>
          <w:szCs w:val="24"/>
        </w:rPr>
      </w:pPr>
      <w:r>
        <w:rPr>
          <w:rFonts w:hint="eastAsia" w:ascii="楷体" w:hAnsi="楷体" w:eastAsia="楷体"/>
          <w:sz w:val="24"/>
          <w:szCs w:val="24"/>
        </w:rPr>
        <w:t>投资者</w:t>
      </w:r>
      <w:r>
        <w:rPr>
          <w:rFonts w:ascii="楷体" w:hAnsi="楷体" w:eastAsia="楷体"/>
          <w:sz w:val="24"/>
          <w:szCs w:val="24"/>
        </w:rPr>
        <w:t>投资收益金额=</w:t>
      </w:r>
      <w:r>
        <w:rPr>
          <w:rFonts w:hint="eastAsia" w:ascii="楷体" w:hAnsi="楷体" w:eastAsia="楷体"/>
          <w:sz w:val="24"/>
          <w:szCs w:val="24"/>
        </w:rPr>
        <w:t>10091.52</w:t>
      </w:r>
      <w:r>
        <w:rPr>
          <w:rFonts w:ascii="楷体" w:hAnsi="楷体" w:eastAsia="楷体"/>
          <w:sz w:val="24"/>
          <w:szCs w:val="24"/>
        </w:rPr>
        <w:t>-</w:t>
      </w:r>
      <w:r>
        <w:rPr>
          <w:rFonts w:hint="eastAsia" w:ascii="楷体" w:hAnsi="楷体" w:eastAsia="楷体"/>
          <w:sz w:val="24"/>
          <w:szCs w:val="24"/>
        </w:rPr>
        <w:t>10000=91.52元</w:t>
      </w:r>
    </w:p>
    <w:p>
      <w:pPr>
        <w:numPr>
          <w:ilvl w:val="0"/>
          <w:numId w:val="24"/>
        </w:numPr>
        <w:tabs>
          <w:tab w:val="left" w:pos="728"/>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情景二</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假定投资者申购10000元，对应申购日产品单位净值为1.080334，客户申购确认份额为9256.40份，</w:t>
      </w:r>
      <w:r>
        <w:rPr>
          <w:rFonts w:hint="eastAsia" w:ascii="楷体" w:hAnsi="楷体" w:eastAsia="楷体"/>
          <w:sz w:val="24"/>
          <w:szCs w:val="24"/>
          <w:lang w:val="en-US" w:eastAsia="zh-CN"/>
        </w:rPr>
        <w:t>持有超过7天后某个赎回日</w:t>
      </w:r>
      <w:r>
        <w:rPr>
          <w:rFonts w:hint="eastAsia" w:ascii="楷体" w:hAnsi="楷体" w:eastAsia="楷体"/>
          <w:sz w:val="24"/>
          <w:szCs w:val="24"/>
        </w:rPr>
        <w:t>投资者提交赎回申请，赎回其所持有本产品全部份额，对应赎回日产品单位净值为1.074231</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w:t>
      </w:r>
      <w:r>
        <w:rPr>
          <w:rFonts w:ascii="楷体" w:hAnsi="楷体" w:eastAsia="楷体"/>
          <w:sz w:val="24"/>
          <w:szCs w:val="24"/>
        </w:rPr>
        <w:t>0000</w:t>
      </w:r>
      <w:r>
        <w:rPr>
          <w:rFonts w:hint="eastAsia" w:ascii="楷体" w:hAnsi="楷体" w:eastAsia="楷体"/>
          <w:sz w:val="24"/>
          <w:szCs w:val="24"/>
        </w:rPr>
        <w:t>/</w:t>
      </w:r>
      <w:r>
        <w:rPr>
          <w:rFonts w:ascii="楷体" w:hAnsi="楷体" w:eastAsia="楷体"/>
          <w:sz w:val="24"/>
          <w:szCs w:val="24"/>
        </w:rPr>
        <w:t>1.</w:t>
      </w:r>
      <w:r>
        <w:rPr>
          <w:rFonts w:hint="eastAsia" w:ascii="楷体" w:hAnsi="楷体" w:eastAsia="楷体"/>
          <w:sz w:val="24"/>
          <w:szCs w:val="24"/>
        </w:rPr>
        <w:t>08</w:t>
      </w:r>
      <w:r>
        <w:rPr>
          <w:rFonts w:ascii="楷体" w:hAnsi="楷体" w:eastAsia="楷体"/>
          <w:sz w:val="24"/>
          <w:szCs w:val="24"/>
        </w:rPr>
        <w:t>0334</w:t>
      </w:r>
      <w:r>
        <w:rPr>
          <w:rFonts w:hint="eastAsia" w:ascii="楷体" w:hAnsi="楷体" w:eastAsia="楷体"/>
          <w:sz w:val="24"/>
          <w:szCs w:val="24"/>
        </w:rPr>
        <w:t>=9256.40份</w:t>
      </w:r>
    </w:p>
    <w:p>
      <w:pPr>
        <w:ind w:firstLine="480" w:firstLineChars="200"/>
        <w:rPr>
          <w:rFonts w:hint="eastAsia" w:ascii="楷体" w:hAnsi="楷体" w:eastAsia="楷体"/>
          <w:sz w:val="24"/>
          <w:szCs w:val="24"/>
        </w:rPr>
      </w:pPr>
      <w:r>
        <w:rPr>
          <w:rFonts w:hint="eastAsia" w:ascii="楷体" w:hAnsi="楷体" w:eastAsia="楷体"/>
          <w:sz w:val="24"/>
          <w:szCs w:val="24"/>
        </w:rPr>
        <w:t>投资者赎回兑付金额=9256.40×1.074231=9943.51元</w:t>
      </w:r>
    </w:p>
    <w:p>
      <w:pPr>
        <w:ind w:firstLine="480" w:firstLineChars="200"/>
        <w:rPr>
          <w:rFonts w:hint="eastAsia" w:ascii="楷体" w:hAnsi="楷体" w:eastAsia="楷体"/>
          <w:sz w:val="24"/>
          <w:szCs w:val="24"/>
        </w:rPr>
      </w:pPr>
      <w:r>
        <w:rPr>
          <w:rFonts w:hint="eastAsia" w:ascii="楷体" w:hAnsi="楷体" w:eastAsia="楷体"/>
          <w:sz w:val="24"/>
          <w:szCs w:val="24"/>
        </w:rPr>
        <w:t>投资者投资收益金额=9943.51-10000=-56.49元</w:t>
      </w:r>
    </w:p>
    <w:p>
      <w:pPr>
        <w:ind w:firstLine="422" w:firstLineChars="176"/>
        <w:rPr>
          <w:rFonts w:hint="eastAsia" w:ascii="楷体" w:hAnsi="楷体" w:eastAsia="楷体" w:cs="Calibri"/>
          <w:sz w:val="24"/>
          <w:szCs w:val="24"/>
        </w:rPr>
      </w:pPr>
      <w:r>
        <w:rPr>
          <w:rFonts w:hint="eastAsia" w:ascii="楷体" w:hAnsi="楷体" w:eastAsia="楷体"/>
          <w:sz w:val="24"/>
          <w:szCs w:val="24"/>
        </w:rPr>
        <w:t>投资者投资本理财产品实际亏损56.49元，</w:t>
      </w:r>
      <w:r>
        <w:rPr>
          <w:rFonts w:hint="eastAsia" w:ascii="楷体" w:hAnsi="楷体" w:eastAsia="楷体"/>
          <w:b/>
          <w:sz w:val="24"/>
          <w:szCs w:val="24"/>
          <w:u w:val="single"/>
        </w:rPr>
        <w:t>在最不利的</w:t>
      </w:r>
      <w:r>
        <w:rPr>
          <w:rFonts w:hint="eastAsia" w:ascii="楷体" w:hAnsi="楷体" w:eastAsia="楷体"/>
          <w:b/>
          <w:sz w:val="24"/>
          <w:szCs w:val="24"/>
          <w:u w:val="single"/>
          <w:lang w:val="en-US" w:eastAsia="zh-CN"/>
        </w:rPr>
        <w:t>情形</w:t>
      </w:r>
      <w:r>
        <w:rPr>
          <w:rFonts w:hint="eastAsia" w:ascii="楷体" w:hAnsi="楷体" w:eastAsia="楷体"/>
          <w:b/>
          <w:sz w:val="24"/>
          <w:szCs w:val="24"/>
          <w:u w:val="single"/>
        </w:rPr>
        <w:t>下，投资者可能损失</w:t>
      </w:r>
      <w:r>
        <w:rPr>
          <w:rFonts w:ascii="楷体" w:hAnsi="楷体" w:eastAsia="楷体"/>
          <w:b/>
          <w:sz w:val="24"/>
          <w:szCs w:val="24"/>
          <w:u w:val="single"/>
        </w:rPr>
        <w:t>100%</w:t>
      </w:r>
      <w:r>
        <w:rPr>
          <w:rFonts w:hint="eastAsia" w:ascii="楷体" w:hAnsi="楷体" w:eastAsia="楷体"/>
          <w:b/>
          <w:sz w:val="24"/>
          <w:szCs w:val="24"/>
          <w:u w:val="single"/>
        </w:rPr>
        <w:t>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134"/>
        </w:tabs>
        <w:ind w:firstLine="562" w:firstLineChars="200"/>
        <w:outlineLvl w:val="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25"/>
        </w:numPr>
        <w:tabs>
          <w:tab w:val="left" w:pos="993"/>
        </w:tabs>
        <w:ind w:left="0" w:firstLine="480" w:firstLineChars="200"/>
        <w:outlineLvl w:val="1"/>
        <w:rPr>
          <w:rFonts w:hint="eastAsia" w:ascii="楷体" w:hAnsi="楷体" w:eastAsia="楷体" w:cs="Calibri"/>
          <w:sz w:val="24"/>
          <w:szCs w:val="24"/>
        </w:rPr>
      </w:pPr>
      <w:r>
        <w:rPr>
          <w:rFonts w:hint="eastAsia" w:ascii="楷体" w:hAnsi="楷体" w:eastAsia="楷体" w:cs="Calibri"/>
          <w:sz w:val="24"/>
          <w:szCs w:val="24"/>
        </w:rPr>
        <w:t>理财产品的终止</w:t>
      </w:r>
    </w:p>
    <w:p>
      <w:pPr>
        <w:numPr>
          <w:ilvl w:val="0"/>
          <w:numId w:val="26"/>
        </w:numPr>
        <w:tabs>
          <w:tab w:val="left" w:pos="728"/>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6"/>
        </w:numPr>
        <w:tabs>
          <w:tab w:val="left" w:pos="728"/>
        </w:tabs>
        <w:ind w:left="0" w:firstLine="480" w:firstLineChars="200"/>
        <w:outlineLvl w:val="2"/>
        <w:rPr>
          <w:rFonts w:hint="eastAsia" w:ascii="楷体" w:hAnsi="楷体" w:eastAsia="楷体" w:cs="Calibri"/>
          <w:b w:val="0"/>
          <w:color w:val="auto"/>
          <w:sz w:val="24"/>
          <w:szCs w:val="24"/>
          <w:highlight w:val="none"/>
        </w:rPr>
      </w:pPr>
      <w:r>
        <w:rPr>
          <w:rFonts w:hint="eastAsia" w:ascii="楷体" w:hAnsi="楷体" w:eastAsia="楷体" w:cs="Calibri"/>
          <w:b w:val="0"/>
          <w:color w:val="auto"/>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w:t>
      </w:r>
    </w:p>
    <w:p>
      <w:pPr>
        <w:numPr>
          <w:ilvl w:val="0"/>
          <w:numId w:val="26"/>
        </w:numPr>
        <w:tabs>
          <w:tab w:val="left" w:pos="728"/>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r>
        <w:rPr>
          <w:rFonts w:hint="eastAsia" w:ascii="楷体" w:hAnsi="楷体" w:eastAsia="楷体" w:cs="Calibri"/>
          <w:sz w:val="24"/>
          <w:szCs w:val="24"/>
          <w:highlight w:val="none"/>
          <w:lang w:eastAsia="zh-CN"/>
        </w:rPr>
        <w:t>。</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80" w:firstLineChars="200"/>
        <w:textAlignment w:val="auto"/>
        <w:rPr>
          <w:rFonts w:hint="eastAsia" w:ascii="楷体" w:hAnsi="楷体" w:eastAsia="楷体" w:cs="Calibri"/>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cs="Calibri"/>
          <w:sz w:val="24"/>
          <w:szCs w:val="24"/>
        </w:rPr>
        <w:t>。</w:t>
      </w:r>
    </w:p>
    <w:p>
      <w:pPr>
        <w:numPr>
          <w:ilvl w:val="0"/>
          <w:numId w:val="25"/>
        </w:numPr>
        <w:tabs>
          <w:tab w:val="left" w:pos="993"/>
        </w:tabs>
        <w:ind w:left="0" w:firstLine="482" w:firstLineChars="200"/>
        <w:outlineLvl w:val="1"/>
        <w:rPr>
          <w:rFonts w:hint="eastAsia" w:ascii="楷体" w:hAnsi="楷体" w:eastAsia="楷体" w:cs="Calibri"/>
          <w:b/>
          <w:bCs/>
          <w:sz w:val="24"/>
          <w:szCs w:val="24"/>
          <w:highlight w:val="none"/>
        </w:rPr>
      </w:pPr>
      <w:r>
        <w:rPr>
          <w:rFonts w:hint="eastAsia" w:ascii="楷体" w:hAnsi="楷体" w:eastAsia="楷体" w:cs="Calibri"/>
          <w:b/>
          <w:bCs/>
          <w:sz w:val="24"/>
          <w:szCs w:val="24"/>
          <w:highlight w:val="none"/>
        </w:rPr>
        <w:t>理财产品的清算</w:t>
      </w:r>
    </w:p>
    <w:p>
      <w:pPr>
        <w:numPr>
          <w:ilvl w:val="0"/>
          <w:numId w:val="2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产品费用</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highlight w:val="none"/>
        </w:rPr>
        <w:t>本产品费用包括托管费、销售服务费、投资管理费、超额业绩报酬（如有）以及产品运作和清算中产生的其他费用等</w:t>
      </w:r>
      <w:r>
        <w:rPr>
          <w:rFonts w:hint="eastAsia" w:ascii="楷体" w:hAnsi="楷体" w:eastAsia="楷体"/>
          <w:sz w:val="24"/>
          <w:szCs w:val="24"/>
        </w:rPr>
        <w:t>。</w:t>
      </w:r>
    </w:p>
    <w:p>
      <w:pPr>
        <w:numPr>
          <w:ilvl w:val="0"/>
          <w:numId w:val="30"/>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计提方法、计提标准和支付方式</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w:t>
      </w:r>
      <w:r>
        <w:rPr>
          <w:rFonts w:hint="eastAsia" w:ascii="楷体" w:hAnsi="楷体" w:eastAsia="楷体"/>
          <w:sz w:val="24"/>
          <w:szCs w:val="24"/>
          <w:lang w:eastAsia="zh-CN"/>
        </w:rPr>
        <w:t>调整上述各项费用费率</w:t>
      </w:r>
      <w:r>
        <w:rPr>
          <w:rFonts w:hint="eastAsia" w:ascii="楷体" w:hAnsi="楷体" w:eastAsia="楷体"/>
          <w:sz w:val="24"/>
          <w:szCs w:val="24"/>
          <w:highlight w:val="none"/>
        </w:rPr>
        <w:t>和超额业绩报酬</w:t>
      </w:r>
      <w:r>
        <w:rPr>
          <w:rFonts w:hint="eastAsia" w:ascii="楷体" w:hAnsi="楷体" w:eastAsia="楷体"/>
          <w:sz w:val="24"/>
          <w:szCs w:val="24"/>
          <w:lang w:eastAsia="zh-CN"/>
        </w:rPr>
        <w:t>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32"/>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信息披露</w:t>
      </w:r>
    </w:p>
    <w:p>
      <w:pPr>
        <w:numPr>
          <w:ilvl w:val="0"/>
          <w:numId w:val="3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信息披露频率</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产品净值披露：本产品封闭运作期结束后，每个工作日公布一次产品单位净值。</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理财账单：管理人每月向投资者提供其所持有的理财产品账单，账单内容包括但不限于投资者持有的理财产品份额、认购金额、</w:t>
      </w:r>
      <w:r>
        <w:rPr>
          <w:rFonts w:hint="eastAsia" w:ascii="楷体" w:hAnsi="楷体" w:eastAsia="楷体" w:cs="Calibri"/>
          <w:sz w:val="24"/>
          <w:szCs w:val="24"/>
          <w:highlight w:val="none"/>
          <w:lang w:val="en-US" w:eastAsia="zh-CN"/>
        </w:rPr>
        <w:t>份额单位</w:t>
      </w:r>
      <w:r>
        <w:rPr>
          <w:rFonts w:hint="eastAsia" w:ascii="楷体" w:hAnsi="楷体" w:eastAsia="楷体" w:cs="Calibri"/>
          <w:sz w:val="24"/>
          <w:szCs w:val="24"/>
          <w:highlight w:val="none"/>
        </w:rPr>
        <w:t>净值、份额累计净值、资产净值、收益情况、投资者理财交易账户发生的交易明细记录等信息</w:t>
      </w:r>
      <w:r>
        <w:rPr>
          <w:rFonts w:hint="eastAsia" w:ascii="楷体" w:hAnsi="楷体" w:eastAsia="楷体" w:cs="Calibri"/>
          <w:sz w:val="24"/>
          <w:szCs w:val="24"/>
        </w:rPr>
        <w:t>。</w:t>
      </w:r>
    </w:p>
    <w:p>
      <w:pPr>
        <w:numPr>
          <w:ilvl w:val="0"/>
          <w:numId w:val="34"/>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r>
        <w:rPr>
          <w:rFonts w:hint="eastAsia" w:ascii="楷体" w:hAnsi="楷体" w:eastAsia="楷体"/>
          <w:sz w:val="24"/>
          <w:szCs w:val="24"/>
        </w:rPr>
        <w:t>。</w:t>
      </w:r>
    </w:p>
    <w:p>
      <w:pPr>
        <w:numPr>
          <w:ilvl w:val="0"/>
          <w:numId w:val="2"/>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其他</w:t>
      </w:r>
    </w:p>
    <w:p>
      <w:pPr>
        <w:numPr>
          <w:ilvl w:val="0"/>
          <w:numId w:val="3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lang w:eastAsia="zh-CN"/>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r>
        <w:rPr>
          <w:rFonts w:hint="eastAsia" w:ascii="楷体" w:hAnsi="楷体" w:eastAsia="楷体"/>
          <w:sz w:val="24"/>
          <w:szCs w:val="24"/>
          <w:highlight w:val="none"/>
          <w:lang w:eastAsia="zh-CN"/>
        </w:rPr>
        <w:t>。</w:t>
      </w:r>
    </w:p>
    <w:p>
      <w:pPr>
        <w:numPr>
          <w:ilvl w:val="0"/>
          <w:numId w:val="38"/>
        </w:numPr>
        <w:tabs>
          <w:tab w:val="left" w:pos="993"/>
        </w:tabs>
        <w:ind w:left="0" w:firstLine="480" w:firstLineChars="200"/>
        <w:outlineLvl w:val="1"/>
        <w:rPr>
          <w:rFonts w:ascii="楷体" w:hAnsi="楷体" w:eastAsia="楷体" w:cs="Calibri"/>
          <w:sz w:val="24"/>
          <w:szCs w:val="24"/>
        </w:rPr>
      </w:pPr>
      <w:r>
        <w:rPr>
          <w:rFonts w:hint="eastAsia" w:ascii="楷体" w:hAnsi="楷体" w:eastAsia="楷体" w:cs="Calibri"/>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lang w:val="en-US" w:eastAsia="zh-CN"/>
        </w:rPr>
      </w:pPr>
      <w:r>
        <w:rPr>
          <w:rFonts w:hint="eastAsia" w:ascii="楷体" w:hAnsi="楷体" w:eastAsia="楷体"/>
          <w:sz w:val="24"/>
          <w:szCs w:val="24"/>
        </w:rPr>
        <w:t>苏银理财有限责任公司将恪守勤勉尽责的原则，合理配置资产组合，为</w:t>
      </w:r>
      <w:r>
        <w:rPr>
          <w:rFonts w:hint="eastAsia" w:ascii="楷体" w:hAnsi="楷体" w:eastAsia="楷体"/>
          <w:sz w:val="24"/>
          <w:szCs w:val="24"/>
          <w:lang w:val="en-US" w:eastAsia="zh-CN"/>
        </w:rPr>
        <w:t>投资者</w:t>
      </w:r>
      <w:r>
        <w:rPr>
          <w:rFonts w:hint="eastAsia" w:ascii="楷体" w:hAnsi="楷体" w:eastAsia="楷体"/>
          <w:sz w:val="24"/>
          <w:szCs w:val="24"/>
        </w:rPr>
        <w:t>提供专业化的理财服务。</w:t>
      </w:r>
      <w:r>
        <w:rPr>
          <w:rFonts w:hint="eastAsia" w:ascii="楷体" w:hAnsi="楷体" w:eastAsia="楷体"/>
          <w:sz w:val="24"/>
          <w:szCs w:val="24"/>
          <w:lang w:val="en-US" w:eastAsia="zh-CN"/>
        </w:rPr>
        <w:t>投资者</w:t>
      </w:r>
      <w:r>
        <w:rPr>
          <w:rFonts w:hint="eastAsia" w:ascii="楷体" w:hAnsi="楷体" w:eastAsia="楷体"/>
          <w:sz w:val="24"/>
          <w:szCs w:val="24"/>
        </w:rPr>
        <w:t>应密切关注苏银理财有限责任公司与本产品有关的信息公告，以免造成不必要的损失。</w:t>
      </w:r>
    </w:p>
    <w:p>
      <w:pPr>
        <w:jc w:val="center"/>
        <w:rPr>
          <w:rFonts w:hint="eastAsia" w:ascii="楷体" w:hAnsi="楷体" w:eastAsia="楷体"/>
          <w:sz w:val="24"/>
          <w:szCs w:val="24"/>
        </w:rPr>
      </w:pPr>
    </w:p>
    <w:p>
      <w:pPr>
        <w:autoSpaceDE w:val="0"/>
        <w:autoSpaceDN w:val="0"/>
        <w:adjustRightInd w:val="0"/>
        <w:rPr>
          <w:rFonts w:ascii="楷体" w:hAnsi="楷体" w:eastAsia="楷体"/>
          <w:sz w:val="24"/>
          <w:szCs w:val="24"/>
        </w:rPr>
      </w:pPr>
    </w:p>
    <w:p>
      <w:pPr>
        <w:autoSpaceDE w:val="0"/>
        <w:autoSpaceDN w:val="0"/>
        <w:adjustRightInd w:val="0"/>
        <w:rPr>
          <w:rFonts w:hint="eastAsia"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5D0C4"/>
    <w:multiLevelType w:val="singleLevel"/>
    <w:tmpl w:val="EE75D0C4"/>
    <w:lvl w:ilvl="0" w:tentative="0">
      <w:start w:val="1"/>
      <w:numFmt w:val="decimal"/>
      <w:suff w:val="nothing"/>
      <w:lvlText w:val="（%1）"/>
      <w:lvlJc w:val="left"/>
    </w:lvl>
  </w:abstractNum>
  <w:abstractNum w:abstractNumId="1">
    <w:nsid w:val="F7924E5E"/>
    <w:multiLevelType w:val="singleLevel"/>
    <w:tmpl w:val="F7924E5E"/>
    <w:lvl w:ilvl="0" w:tentative="0">
      <w:start w:val="1"/>
      <w:numFmt w:val="decimal"/>
      <w:lvlText w:val="%1."/>
      <w:lvlJc w:val="left"/>
      <w:pPr>
        <w:tabs>
          <w:tab w:val="left" w:pos="312"/>
        </w:tabs>
      </w:pPr>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B5E71E1"/>
    <w:multiLevelType w:val="multilevel"/>
    <w:tmpl w:val="2B5E71E1"/>
    <w:lvl w:ilvl="0" w:tentative="0">
      <w:start w:val="1"/>
      <w:numFmt w:val="chineseCountingThousand"/>
      <w:lvlText w:val="(%1)"/>
      <w:lvlJc w:val="left"/>
      <w:pPr>
        <w:ind w:left="1129"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A1C30FB"/>
    <w:multiLevelType w:val="multilevel"/>
    <w:tmpl w:val="5A1C30FB"/>
    <w:lvl w:ilvl="0" w:tentative="0">
      <w:start w:val="1"/>
      <w:numFmt w:val="decimal"/>
      <w:lvlText w:val="%1."/>
      <w:lvlJc w:val="left"/>
      <w:pPr>
        <w:ind w:left="360" w:hanging="420"/>
      </w:pPr>
    </w:lvl>
    <w:lvl w:ilvl="1" w:tentative="0">
      <w:start w:val="1"/>
      <w:numFmt w:val="lowerLetter"/>
      <w:lvlText w:val="%2)"/>
      <w:lvlJc w:val="left"/>
      <w:pPr>
        <w:ind w:left="780" w:hanging="420"/>
      </w:pPr>
    </w:lvl>
    <w:lvl w:ilvl="2" w:tentative="0">
      <w:start w:val="1"/>
      <w:numFmt w:val="lowerRoman"/>
      <w:lvlText w:val="%3."/>
      <w:lvlJc w:val="right"/>
      <w:pPr>
        <w:ind w:left="1200" w:hanging="420"/>
      </w:pPr>
    </w:lvl>
    <w:lvl w:ilvl="3" w:tentative="0">
      <w:start w:val="1"/>
      <w:numFmt w:val="decimal"/>
      <w:lvlText w:val="%4."/>
      <w:lvlJc w:val="left"/>
      <w:pPr>
        <w:ind w:left="1620" w:hanging="420"/>
      </w:pPr>
    </w:lvl>
    <w:lvl w:ilvl="4" w:tentative="0">
      <w:start w:val="1"/>
      <w:numFmt w:val="lowerLetter"/>
      <w:lvlText w:val="%5)"/>
      <w:lvlJc w:val="left"/>
      <w:pPr>
        <w:ind w:left="2040" w:hanging="420"/>
      </w:pPr>
    </w:lvl>
    <w:lvl w:ilvl="5" w:tentative="0">
      <w:start w:val="1"/>
      <w:numFmt w:val="lowerRoman"/>
      <w:lvlText w:val="%6."/>
      <w:lvlJc w:val="right"/>
      <w:pPr>
        <w:ind w:left="2460" w:hanging="420"/>
      </w:pPr>
    </w:lvl>
    <w:lvl w:ilvl="6" w:tentative="0">
      <w:start w:val="1"/>
      <w:numFmt w:val="decimal"/>
      <w:lvlText w:val="%7."/>
      <w:lvlJc w:val="left"/>
      <w:pPr>
        <w:ind w:left="2880" w:hanging="420"/>
      </w:pPr>
    </w:lvl>
    <w:lvl w:ilvl="7" w:tentative="0">
      <w:start w:val="1"/>
      <w:numFmt w:val="lowerLetter"/>
      <w:lvlText w:val="%8)"/>
      <w:lvlJc w:val="left"/>
      <w:pPr>
        <w:ind w:left="3300" w:hanging="420"/>
      </w:pPr>
    </w:lvl>
    <w:lvl w:ilvl="8" w:tentative="0">
      <w:start w:val="1"/>
      <w:numFmt w:val="lowerRoman"/>
      <w:lvlText w:val="%9."/>
      <w:lvlJc w:val="right"/>
      <w:pPr>
        <w:ind w:left="3720" w:hanging="420"/>
      </w:pPr>
    </w:lvl>
  </w:abstractNum>
  <w:abstractNum w:abstractNumId="27">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0"/>
  </w:num>
  <w:num w:numId="2">
    <w:abstractNumId w:val="9"/>
  </w:num>
  <w:num w:numId="3">
    <w:abstractNumId w:val="16"/>
  </w:num>
  <w:num w:numId="4">
    <w:abstractNumId w:val="11"/>
  </w:num>
  <w:num w:numId="5">
    <w:abstractNumId w:val="26"/>
  </w:num>
  <w:num w:numId="6">
    <w:abstractNumId w:val="32"/>
  </w:num>
  <w:num w:numId="7">
    <w:abstractNumId w:val="10"/>
  </w:num>
  <w:num w:numId="8">
    <w:abstractNumId w:val="19"/>
  </w:num>
  <w:num w:numId="9">
    <w:abstractNumId w:val="0"/>
  </w:num>
  <w:num w:numId="10">
    <w:abstractNumId w:val="36"/>
  </w:num>
  <w:num w:numId="11">
    <w:abstractNumId w:val="1"/>
  </w:num>
  <w:num w:numId="12">
    <w:abstractNumId w:val="22"/>
  </w:num>
  <w:num w:numId="13">
    <w:abstractNumId w:val="12"/>
  </w:num>
  <w:num w:numId="14">
    <w:abstractNumId w:val="2"/>
  </w:num>
  <w:num w:numId="15">
    <w:abstractNumId w:val="28"/>
  </w:num>
  <w:num w:numId="16">
    <w:abstractNumId w:val="18"/>
  </w:num>
  <w:num w:numId="17">
    <w:abstractNumId w:val="6"/>
  </w:num>
  <w:num w:numId="18">
    <w:abstractNumId w:val="31"/>
  </w:num>
  <w:num w:numId="19">
    <w:abstractNumId w:val="27"/>
  </w:num>
  <w:num w:numId="20">
    <w:abstractNumId w:val="23"/>
  </w:num>
  <w:num w:numId="21">
    <w:abstractNumId w:val="7"/>
  </w:num>
  <w:num w:numId="22">
    <w:abstractNumId w:val="5"/>
  </w:num>
  <w:num w:numId="23">
    <w:abstractNumId w:val="13"/>
  </w:num>
  <w:num w:numId="24">
    <w:abstractNumId w:val="8"/>
  </w:num>
  <w:num w:numId="25">
    <w:abstractNumId w:val="14"/>
  </w:num>
  <w:num w:numId="26">
    <w:abstractNumId w:val="30"/>
  </w:num>
  <w:num w:numId="27">
    <w:abstractNumId w:val="4"/>
  </w:num>
  <w:num w:numId="28">
    <w:abstractNumId w:val="33"/>
  </w:num>
  <w:num w:numId="29">
    <w:abstractNumId w:val="25"/>
  </w:num>
  <w:num w:numId="30">
    <w:abstractNumId w:val="34"/>
  </w:num>
  <w:num w:numId="31">
    <w:abstractNumId w:val="37"/>
  </w:num>
  <w:num w:numId="32">
    <w:abstractNumId w:val="29"/>
  </w:num>
  <w:num w:numId="33">
    <w:abstractNumId w:val="15"/>
  </w:num>
  <w:num w:numId="34">
    <w:abstractNumId w:val="24"/>
  </w:num>
  <w:num w:numId="35">
    <w:abstractNumId w:val="21"/>
  </w:num>
  <w:num w:numId="36">
    <w:abstractNumId w:val="35"/>
  </w:num>
  <w:num w:numId="37">
    <w:abstractNumId w:val="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2160"/>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5B31"/>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4D0"/>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1C"/>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894F2A"/>
    <w:rsid w:val="01DB6405"/>
    <w:rsid w:val="01F11ABC"/>
    <w:rsid w:val="028D41D3"/>
    <w:rsid w:val="03123218"/>
    <w:rsid w:val="034C42F7"/>
    <w:rsid w:val="035B6DAA"/>
    <w:rsid w:val="035F7A9F"/>
    <w:rsid w:val="03E41F47"/>
    <w:rsid w:val="04692EAF"/>
    <w:rsid w:val="04F56A45"/>
    <w:rsid w:val="050D76F3"/>
    <w:rsid w:val="053B0F21"/>
    <w:rsid w:val="05AA0F56"/>
    <w:rsid w:val="05F8402C"/>
    <w:rsid w:val="06404DBE"/>
    <w:rsid w:val="064446BC"/>
    <w:rsid w:val="066F069C"/>
    <w:rsid w:val="068210AE"/>
    <w:rsid w:val="069A0A29"/>
    <w:rsid w:val="06E22BD9"/>
    <w:rsid w:val="06E57441"/>
    <w:rsid w:val="074D2DE5"/>
    <w:rsid w:val="07AC00A3"/>
    <w:rsid w:val="07F93488"/>
    <w:rsid w:val="083C0963"/>
    <w:rsid w:val="088E201C"/>
    <w:rsid w:val="08D6619F"/>
    <w:rsid w:val="09167328"/>
    <w:rsid w:val="09831EA8"/>
    <w:rsid w:val="09BA24EE"/>
    <w:rsid w:val="09E828BD"/>
    <w:rsid w:val="0A093052"/>
    <w:rsid w:val="0A172526"/>
    <w:rsid w:val="0A2F27BA"/>
    <w:rsid w:val="0A792365"/>
    <w:rsid w:val="0A7B672E"/>
    <w:rsid w:val="0B095527"/>
    <w:rsid w:val="0B406F07"/>
    <w:rsid w:val="0B844F09"/>
    <w:rsid w:val="0BC72540"/>
    <w:rsid w:val="0CC84AD5"/>
    <w:rsid w:val="0CDC6727"/>
    <w:rsid w:val="0CE43B33"/>
    <w:rsid w:val="0D1B67E4"/>
    <w:rsid w:val="0D36186F"/>
    <w:rsid w:val="0D441E2F"/>
    <w:rsid w:val="0D917317"/>
    <w:rsid w:val="0EFB4523"/>
    <w:rsid w:val="0F3320FE"/>
    <w:rsid w:val="0F3C4F8C"/>
    <w:rsid w:val="0F980C8C"/>
    <w:rsid w:val="10241236"/>
    <w:rsid w:val="10255C74"/>
    <w:rsid w:val="10AE1F6E"/>
    <w:rsid w:val="10BA7A9A"/>
    <w:rsid w:val="10E20B40"/>
    <w:rsid w:val="10E55ACF"/>
    <w:rsid w:val="11365A23"/>
    <w:rsid w:val="11803EEC"/>
    <w:rsid w:val="12DA7DBF"/>
    <w:rsid w:val="12DB73B5"/>
    <w:rsid w:val="132D0579"/>
    <w:rsid w:val="13422C29"/>
    <w:rsid w:val="14186104"/>
    <w:rsid w:val="14193B86"/>
    <w:rsid w:val="147565E8"/>
    <w:rsid w:val="147A2925"/>
    <w:rsid w:val="149C3B43"/>
    <w:rsid w:val="152378E9"/>
    <w:rsid w:val="15482555"/>
    <w:rsid w:val="15713442"/>
    <w:rsid w:val="159B030A"/>
    <w:rsid w:val="1623546D"/>
    <w:rsid w:val="16BD1292"/>
    <w:rsid w:val="16DD20EE"/>
    <w:rsid w:val="17236EA9"/>
    <w:rsid w:val="17673155"/>
    <w:rsid w:val="179E4EFF"/>
    <w:rsid w:val="17C2605E"/>
    <w:rsid w:val="18147C0E"/>
    <w:rsid w:val="1818260C"/>
    <w:rsid w:val="18194096"/>
    <w:rsid w:val="1923144C"/>
    <w:rsid w:val="19690AEF"/>
    <w:rsid w:val="19EB055A"/>
    <w:rsid w:val="1A1820B0"/>
    <w:rsid w:val="1A282F70"/>
    <w:rsid w:val="1A742884"/>
    <w:rsid w:val="1A807D93"/>
    <w:rsid w:val="1A896419"/>
    <w:rsid w:val="1B6B4492"/>
    <w:rsid w:val="1BA32D12"/>
    <w:rsid w:val="1C0022EB"/>
    <w:rsid w:val="1C1F3F30"/>
    <w:rsid w:val="1C9329E4"/>
    <w:rsid w:val="1CD062D3"/>
    <w:rsid w:val="1D722C29"/>
    <w:rsid w:val="1D740FDF"/>
    <w:rsid w:val="1DB3691F"/>
    <w:rsid w:val="1DC41D93"/>
    <w:rsid w:val="1EDB2389"/>
    <w:rsid w:val="1F264229"/>
    <w:rsid w:val="1F421668"/>
    <w:rsid w:val="1FA12C5C"/>
    <w:rsid w:val="1FA248EA"/>
    <w:rsid w:val="20222D7A"/>
    <w:rsid w:val="202F3DD4"/>
    <w:rsid w:val="20517871"/>
    <w:rsid w:val="205C4454"/>
    <w:rsid w:val="207E30C8"/>
    <w:rsid w:val="209802F7"/>
    <w:rsid w:val="21430D20"/>
    <w:rsid w:val="221F520B"/>
    <w:rsid w:val="22484472"/>
    <w:rsid w:val="22BE600E"/>
    <w:rsid w:val="22CD0827"/>
    <w:rsid w:val="23331DFF"/>
    <w:rsid w:val="23C36E31"/>
    <w:rsid w:val="23CF16CE"/>
    <w:rsid w:val="23D46080"/>
    <w:rsid w:val="23EC7071"/>
    <w:rsid w:val="24080ADB"/>
    <w:rsid w:val="24165D91"/>
    <w:rsid w:val="24286441"/>
    <w:rsid w:val="2443660E"/>
    <w:rsid w:val="24EC3EDD"/>
    <w:rsid w:val="25144380"/>
    <w:rsid w:val="257E4161"/>
    <w:rsid w:val="25D7114F"/>
    <w:rsid w:val="26526142"/>
    <w:rsid w:val="2692127C"/>
    <w:rsid w:val="26C72E54"/>
    <w:rsid w:val="275C5122"/>
    <w:rsid w:val="27747E44"/>
    <w:rsid w:val="279D3081"/>
    <w:rsid w:val="286062A0"/>
    <w:rsid w:val="289A6B28"/>
    <w:rsid w:val="28D5368A"/>
    <w:rsid w:val="28EF4A33"/>
    <w:rsid w:val="2A261060"/>
    <w:rsid w:val="2A3C7A71"/>
    <w:rsid w:val="2B597C79"/>
    <w:rsid w:val="2BBE6396"/>
    <w:rsid w:val="2C210873"/>
    <w:rsid w:val="2C322309"/>
    <w:rsid w:val="2C6E0973"/>
    <w:rsid w:val="2CAF7663"/>
    <w:rsid w:val="2D0451C1"/>
    <w:rsid w:val="2D0C083F"/>
    <w:rsid w:val="2D6F33C4"/>
    <w:rsid w:val="2E1D65A5"/>
    <w:rsid w:val="2EEA59BC"/>
    <w:rsid w:val="2F9B2DEA"/>
    <w:rsid w:val="2FB45068"/>
    <w:rsid w:val="301342D0"/>
    <w:rsid w:val="301E0463"/>
    <w:rsid w:val="3074534F"/>
    <w:rsid w:val="30E03740"/>
    <w:rsid w:val="31192501"/>
    <w:rsid w:val="31317C71"/>
    <w:rsid w:val="316E0281"/>
    <w:rsid w:val="316F24FA"/>
    <w:rsid w:val="317317D4"/>
    <w:rsid w:val="32135324"/>
    <w:rsid w:val="33A02356"/>
    <w:rsid w:val="344F51FB"/>
    <w:rsid w:val="34591CB0"/>
    <w:rsid w:val="346202B8"/>
    <w:rsid w:val="34F44E9B"/>
    <w:rsid w:val="355429E6"/>
    <w:rsid w:val="355F671C"/>
    <w:rsid w:val="3695454D"/>
    <w:rsid w:val="36F87EB4"/>
    <w:rsid w:val="36FC5244"/>
    <w:rsid w:val="371A38A1"/>
    <w:rsid w:val="37C80F78"/>
    <w:rsid w:val="37D37E88"/>
    <w:rsid w:val="37FA220F"/>
    <w:rsid w:val="380450EE"/>
    <w:rsid w:val="38230259"/>
    <w:rsid w:val="38653581"/>
    <w:rsid w:val="387114B8"/>
    <w:rsid w:val="388A3751"/>
    <w:rsid w:val="38932133"/>
    <w:rsid w:val="39927953"/>
    <w:rsid w:val="39B147F2"/>
    <w:rsid w:val="39D349ED"/>
    <w:rsid w:val="39D914B2"/>
    <w:rsid w:val="39D96DB9"/>
    <w:rsid w:val="39FB420D"/>
    <w:rsid w:val="3A271F97"/>
    <w:rsid w:val="3A3F437E"/>
    <w:rsid w:val="3A892518"/>
    <w:rsid w:val="3AD63690"/>
    <w:rsid w:val="3C3B1DED"/>
    <w:rsid w:val="3C893E03"/>
    <w:rsid w:val="3C8E2667"/>
    <w:rsid w:val="3D2D0EEC"/>
    <w:rsid w:val="3D3F6C08"/>
    <w:rsid w:val="3DE51B4A"/>
    <w:rsid w:val="3E177435"/>
    <w:rsid w:val="3F0B3D6C"/>
    <w:rsid w:val="3F607858"/>
    <w:rsid w:val="3F6F05A5"/>
    <w:rsid w:val="3FDB53BE"/>
    <w:rsid w:val="406A2DE8"/>
    <w:rsid w:val="40997BBB"/>
    <w:rsid w:val="40BD701A"/>
    <w:rsid w:val="413E4F19"/>
    <w:rsid w:val="414E51B4"/>
    <w:rsid w:val="419B49AF"/>
    <w:rsid w:val="41B81859"/>
    <w:rsid w:val="41D378AA"/>
    <w:rsid w:val="4260438F"/>
    <w:rsid w:val="42974FBF"/>
    <w:rsid w:val="42A15615"/>
    <w:rsid w:val="435F5560"/>
    <w:rsid w:val="438318D0"/>
    <w:rsid w:val="44420F54"/>
    <w:rsid w:val="44BC6C1F"/>
    <w:rsid w:val="454B743A"/>
    <w:rsid w:val="45AA59A9"/>
    <w:rsid w:val="45C94E5E"/>
    <w:rsid w:val="45CE6533"/>
    <w:rsid w:val="46064560"/>
    <w:rsid w:val="463B61AA"/>
    <w:rsid w:val="466325D2"/>
    <w:rsid w:val="46CF4EB2"/>
    <w:rsid w:val="472628AA"/>
    <w:rsid w:val="47F723EA"/>
    <w:rsid w:val="48335228"/>
    <w:rsid w:val="487C587B"/>
    <w:rsid w:val="497A2F9B"/>
    <w:rsid w:val="498A4734"/>
    <w:rsid w:val="49901E45"/>
    <w:rsid w:val="49E97FD0"/>
    <w:rsid w:val="4A412CE6"/>
    <w:rsid w:val="4A503956"/>
    <w:rsid w:val="4A8859DD"/>
    <w:rsid w:val="4AAA0106"/>
    <w:rsid w:val="4AC7413B"/>
    <w:rsid w:val="4ACF7A80"/>
    <w:rsid w:val="4AD312A4"/>
    <w:rsid w:val="4B69543C"/>
    <w:rsid w:val="4C0E5BAD"/>
    <w:rsid w:val="4C304B0A"/>
    <w:rsid w:val="4C6528E3"/>
    <w:rsid w:val="4CC53C01"/>
    <w:rsid w:val="4CFB4DED"/>
    <w:rsid w:val="4D1B6B8E"/>
    <w:rsid w:val="4D1C4610"/>
    <w:rsid w:val="4D4562FA"/>
    <w:rsid w:val="4D536E56"/>
    <w:rsid w:val="4D79686E"/>
    <w:rsid w:val="4D86215A"/>
    <w:rsid w:val="4DB97C92"/>
    <w:rsid w:val="4DBB5113"/>
    <w:rsid w:val="4DD63874"/>
    <w:rsid w:val="4DFF7EC5"/>
    <w:rsid w:val="4E3C4336"/>
    <w:rsid w:val="4E697FB9"/>
    <w:rsid w:val="4EDB32EC"/>
    <w:rsid w:val="4F590867"/>
    <w:rsid w:val="4F901B16"/>
    <w:rsid w:val="4FBE1D4C"/>
    <w:rsid w:val="4FFD46C8"/>
    <w:rsid w:val="507A5BD7"/>
    <w:rsid w:val="51B5729C"/>
    <w:rsid w:val="52A56281"/>
    <w:rsid w:val="52D2676F"/>
    <w:rsid w:val="531A485A"/>
    <w:rsid w:val="53354F4F"/>
    <w:rsid w:val="5370643A"/>
    <w:rsid w:val="54AF247D"/>
    <w:rsid w:val="54CB25FE"/>
    <w:rsid w:val="551940AB"/>
    <w:rsid w:val="561D6D68"/>
    <w:rsid w:val="5675467A"/>
    <w:rsid w:val="56A542C4"/>
    <w:rsid w:val="570F064C"/>
    <w:rsid w:val="57124441"/>
    <w:rsid w:val="57D55747"/>
    <w:rsid w:val="5860738B"/>
    <w:rsid w:val="587F3808"/>
    <w:rsid w:val="58B66B25"/>
    <w:rsid w:val="58C26FFB"/>
    <w:rsid w:val="58D44BA5"/>
    <w:rsid w:val="58F475A5"/>
    <w:rsid w:val="596F7548"/>
    <w:rsid w:val="59887F4C"/>
    <w:rsid w:val="59B7106E"/>
    <w:rsid w:val="5AB86FE7"/>
    <w:rsid w:val="5ACC69B8"/>
    <w:rsid w:val="5B7754D1"/>
    <w:rsid w:val="5B7B1236"/>
    <w:rsid w:val="5BA11BE8"/>
    <w:rsid w:val="5BE4452E"/>
    <w:rsid w:val="5C771C38"/>
    <w:rsid w:val="5D0E0CB8"/>
    <w:rsid w:val="5D2A0820"/>
    <w:rsid w:val="5DCF39E7"/>
    <w:rsid w:val="5E7601F0"/>
    <w:rsid w:val="5E9C6F69"/>
    <w:rsid w:val="5EC37085"/>
    <w:rsid w:val="5EC91D0B"/>
    <w:rsid w:val="5F3B4569"/>
    <w:rsid w:val="5F3B7713"/>
    <w:rsid w:val="5F587925"/>
    <w:rsid w:val="60733F65"/>
    <w:rsid w:val="612742F0"/>
    <w:rsid w:val="6135041E"/>
    <w:rsid w:val="613539FE"/>
    <w:rsid w:val="61714ADD"/>
    <w:rsid w:val="61C65746"/>
    <w:rsid w:val="61CB6793"/>
    <w:rsid w:val="61E34C31"/>
    <w:rsid w:val="61EE6E14"/>
    <w:rsid w:val="61FC34BA"/>
    <w:rsid w:val="61FD304F"/>
    <w:rsid w:val="62030149"/>
    <w:rsid w:val="62090166"/>
    <w:rsid w:val="621A6FE4"/>
    <w:rsid w:val="623A2FE4"/>
    <w:rsid w:val="62523DDE"/>
    <w:rsid w:val="62693A03"/>
    <w:rsid w:val="62ED7A7A"/>
    <w:rsid w:val="62F87114"/>
    <w:rsid w:val="63045E00"/>
    <w:rsid w:val="639826A5"/>
    <w:rsid w:val="639C0AAF"/>
    <w:rsid w:val="63C03FB5"/>
    <w:rsid w:val="63FE1169"/>
    <w:rsid w:val="644508F7"/>
    <w:rsid w:val="649B41F4"/>
    <w:rsid w:val="649C0948"/>
    <w:rsid w:val="64C2705A"/>
    <w:rsid w:val="64D231FC"/>
    <w:rsid w:val="65223B9F"/>
    <w:rsid w:val="652724A3"/>
    <w:rsid w:val="65535602"/>
    <w:rsid w:val="655F12A6"/>
    <w:rsid w:val="656343E8"/>
    <w:rsid w:val="656B48D2"/>
    <w:rsid w:val="65834E5D"/>
    <w:rsid w:val="65A91B6B"/>
    <w:rsid w:val="65C34A9A"/>
    <w:rsid w:val="65C91E0B"/>
    <w:rsid w:val="65D07218"/>
    <w:rsid w:val="66006AAA"/>
    <w:rsid w:val="66185CA1"/>
    <w:rsid w:val="66B446D0"/>
    <w:rsid w:val="66E80D8B"/>
    <w:rsid w:val="674B5D3B"/>
    <w:rsid w:val="67662B31"/>
    <w:rsid w:val="67997237"/>
    <w:rsid w:val="67A84C2D"/>
    <w:rsid w:val="688B0AAE"/>
    <w:rsid w:val="689F3B33"/>
    <w:rsid w:val="68B46056"/>
    <w:rsid w:val="69CF4224"/>
    <w:rsid w:val="6A207FAF"/>
    <w:rsid w:val="6A691709"/>
    <w:rsid w:val="6A852C45"/>
    <w:rsid w:val="6BCE214B"/>
    <w:rsid w:val="6BDF7488"/>
    <w:rsid w:val="6C2C1B05"/>
    <w:rsid w:val="6C423CA9"/>
    <w:rsid w:val="6CAE7C56"/>
    <w:rsid w:val="6CC23729"/>
    <w:rsid w:val="6CC35E26"/>
    <w:rsid w:val="6D3348B6"/>
    <w:rsid w:val="6D3B484F"/>
    <w:rsid w:val="6D4F1537"/>
    <w:rsid w:val="6D5B21F7"/>
    <w:rsid w:val="6DBA4702"/>
    <w:rsid w:val="6E245CB3"/>
    <w:rsid w:val="6E5D70B6"/>
    <w:rsid w:val="6E686F02"/>
    <w:rsid w:val="6ECC6BD6"/>
    <w:rsid w:val="6ED06D35"/>
    <w:rsid w:val="703520EE"/>
    <w:rsid w:val="70776C66"/>
    <w:rsid w:val="70B20AAE"/>
    <w:rsid w:val="715759B8"/>
    <w:rsid w:val="715D0235"/>
    <w:rsid w:val="716F1EED"/>
    <w:rsid w:val="718332B2"/>
    <w:rsid w:val="718D5813"/>
    <w:rsid w:val="71BE1639"/>
    <w:rsid w:val="71D823E8"/>
    <w:rsid w:val="725A4F74"/>
    <w:rsid w:val="729D36A9"/>
    <w:rsid w:val="732F77A5"/>
    <w:rsid w:val="73A81956"/>
    <w:rsid w:val="73A90ADD"/>
    <w:rsid w:val="743C276B"/>
    <w:rsid w:val="746C0894"/>
    <w:rsid w:val="748636C3"/>
    <w:rsid w:val="75097E52"/>
    <w:rsid w:val="751112ED"/>
    <w:rsid w:val="752F64FC"/>
    <w:rsid w:val="754B297D"/>
    <w:rsid w:val="75C415CA"/>
    <w:rsid w:val="762940BB"/>
    <w:rsid w:val="767B2E1A"/>
    <w:rsid w:val="76F749EB"/>
    <w:rsid w:val="772E2A0F"/>
    <w:rsid w:val="78577D18"/>
    <w:rsid w:val="78A42D63"/>
    <w:rsid w:val="78E47CFE"/>
    <w:rsid w:val="79EC6615"/>
    <w:rsid w:val="7A1854C6"/>
    <w:rsid w:val="7A721A4A"/>
    <w:rsid w:val="7AE54953"/>
    <w:rsid w:val="7AF57D5B"/>
    <w:rsid w:val="7B17785C"/>
    <w:rsid w:val="7B517D5F"/>
    <w:rsid w:val="7BAD117F"/>
    <w:rsid w:val="7BB80A08"/>
    <w:rsid w:val="7BE06349"/>
    <w:rsid w:val="7C6C24A2"/>
    <w:rsid w:val="7CE617A9"/>
    <w:rsid w:val="7D1B064F"/>
    <w:rsid w:val="7D6626DD"/>
    <w:rsid w:val="7D942C2D"/>
    <w:rsid w:val="7DE30098"/>
    <w:rsid w:val="7DE85CBF"/>
    <w:rsid w:val="7E162593"/>
    <w:rsid w:val="7E7B29D6"/>
    <w:rsid w:val="7EFA6C2D"/>
    <w:rsid w:val="7F3E12C6"/>
    <w:rsid w:val="7F9D7C46"/>
    <w:rsid w:val="7FB42512"/>
    <w:rsid w:val="7FD14B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35833</Words>
  <Characters>36821</Characters>
  <Lines>235</Lines>
  <Paragraphs>66</Paragraphs>
  <TotalTime>8</TotalTime>
  <ScaleCrop>false</ScaleCrop>
  <LinksUpToDate>false</LinksUpToDate>
  <CharactersWithSpaces>37056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jsyh</cp:lastModifiedBy>
  <cp:lastPrinted>2022-07-26T07:00:00Z</cp:lastPrinted>
  <dcterms:modified xsi:type="dcterms:W3CDTF">2025-10-09T11:04:53Z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AEC4A041110A4F4381288718A25B7270</vt:lpwstr>
  </property>
</Properties>
</file>