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w:t>
      </w:r>
      <w:r>
        <w:rPr>
          <w:rFonts w:hint="eastAsia" w:ascii="楷体" w:hAnsi="楷体" w:eastAsia="楷体"/>
          <w:b/>
          <w:color w:val="auto"/>
          <w:sz w:val="28"/>
          <w:szCs w:val="28"/>
          <w:highlight w:val="none"/>
          <w:lang w:eastAsia="zh-CN"/>
        </w:rPr>
        <w:t>苏银理财</w:t>
      </w:r>
      <w:r>
        <w:rPr>
          <w:rFonts w:hint="eastAsia" w:ascii="楷体" w:hAnsi="楷体" w:eastAsia="楷体"/>
          <w:b/>
          <w:color w:val="auto"/>
          <w:sz w:val="28"/>
          <w:szCs w:val="28"/>
          <w:highlight w:val="none"/>
          <w:lang w:val="en-US" w:eastAsia="zh-CN"/>
        </w:rPr>
        <w:t>恒源最短持有90天</w:t>
      </w:r>
      <w:r>
        <w:rPr>
          <w:rFonts w:hint="eastAsia" w:ascii="楷体" w:hAnsi="楷体" w:eastAsia="楷体"/>
          <w:b/>
          <w:color w:val="auto"/>
          <w:sz w:val="28"/>
          <w:szCs w:val="28"/>
          <w:highlight w:val="none"/>
        </w:rPr>
        <w:t>”理财产品说明书</w:t>
      </w:r>
    </w:p>
    <w:p>
      <w:pPr>
        <w:pStyle w:val="12"/>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cs="Times New Roman"/>
          <w:kern w:val="2"/>
          <w:sz w:val="21"/>
          <w:szCs w:val="21"/>
          <w:highlight w:val="none"/>
          <w:lang w:val="en-US" w:eastAsia="zh-CN" w:bidi="ar-SA"/>
        </w:rPr>
        <w:t>（</w:t>
      </w:r>
      <w:r>
        <w:rPr>
          <w:rFonts w:hint="eastAsia" w:ascii="楷体" w:hAnsi="楷体" w:eastAsia="楷体" w:cs="Times New Roman"/>
          <w:b/>
          <w:bCs/>
          <w:kern w:val="2"/>
          <w:sz w:val="21"/>
          <w:szCs w:val="21"/>
          <w:highlight w:val="none"/>
          <w:lang w:val="en-US" w:eastAsia="zh-CN" w:bidi="ar-SA"/>
        </w:rPr>
        <w:t>2025年9月版</w:t>
      </w:r>
      <w:r>
        <w:rPr>
          <w:rFonts w:hint="eastAsia" w:ascii="楷体" w:hAnsi="楷体" w:eastAsia="楷体" w:cs="Times New Roman"/>
          <w:kern w:val="2"/>
          <w:sz w:val="21"/>
          <w:szCs w:val="21"/>
          <w:highlight w:val="none"/>
          <w:lang w:val="en-US" w:eastAsia="zh-CN" w:bidi="ar-SA"/>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eastAsia="zh-CN"/>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重要须知</w:t>
      </w:r>
    </w:p>
    <w:p>
      <w:pPr>
        <w:keepNext w:val="0"/>
        <w:keepLines w:val="0"/>
        <w:pageBreakBefore w:val="0"/>
        <w:numPr>
          <w:ilvl w:val="0"/>
          <w:numId w:val="1"/>
        </w:numPr>
        <w:wordWrap/>
        <w:topLinePunct w:val="0"/>
        <w:autoSpaceDE/>
        <w:autoSpaceDN/>
        <w:bidi w:val="0"/>
        <w:ind w:left="420" w:leftChars="0" w:hanging="420" w:firstLineChars="0"/>
        <w:textAlignment w:val="auto"/>
        <w:rPr>
          <w:rFonts w:ascii="楷体" w:hAnsi="楷体" w:eastAsia="楷体"/>
          <w:sz w:val="21"/>
          <w:szCs w:val="21"/>
          <w:highlight w:val="none"/>
        </w:rPr>
      </w:pPr>
      <w:r>
        <w:rPr>
          <w:rFonts w:hint="eastAsia" w:ascii="楷体" w:hAnsi="楷体" w:eastAsia="楷体"/>
          <w:sz w:val="21"/>
          <w:szCs w:val="21"/>
          <w:highlight w:val="none"/>
        </w:rPr>
        <w:t>在购买本理财产品前，投资者应确保自己完全理解该项投资的性质和所涉及的风险，详细了解和审慎评估该理财产品的</w:t>
      </w:r>
      <w:r>
        <w:rPr>
          <w:rFonts w:hint="eastAsia" w:ascii="楷体" w:hAnsi="楷体" w:eastAsia="楷体"/>
          <w:sz w:val="21"/>
          <w:szCs w:val="21"/>
          <w:highlight w:val="none"/>
          <w:lang w:val="en-US" w:eastAsia="zh-CN"/>
        </w:rPr>
        <w:t>投资范围</w:t>
      </w:r>
      <w:r>
        <w:rPr>
          <w:rFonts w:hint="eastAsia" w:ascii="楷体" w:hAnsi="楷体" w:eastAsia="楷体"/>
          <w:sz w:val="21"/>
          <w:szCs w:val="21"/>
          <w:highlight w:val="none"/>
        </w:rPr>
        <w:t>、风险类型等基本情况，在慎重考虑后自行决定购买与自身风险承受能力和资产管理需求匹配的理财产品。</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b/>
          <w:sz w:val="21"/>
          <w:szCs w:val="21"/>
          <w:highlight w:val="none"/>
          <w:u w:val="single"/>
        </w:rPr>
        <w:t>本理</w:t>
      </w:r>
      <w:r>
        <w:rPr>
          <w:rFonts w:hint="eastAsia" w:ascii="楷体" w:hAnsi="楷体" w:eastAsia="楷体" w:cs="Times New Roman"/>
          <w:b/>
          <w:sz w:val="21"/>
          <w:szCs w:val="21"/>
          <w:highlight w:val="none"/>
          <w:u w:val="single"/>
        </w:rPr>
        <w:t>财产品不保证本金及收益，您的本金可能因市场变动</w:t>
      </w:r>
      <w:r>
        <w:rPr>
          <w:rFonts w:hint="eastAsia" w:ascii="楷体" w:hAnsi="楷体" w:eastAsia="楷体" w:cs="Times New Roman"/>
          <w:b/>
          <w:sz w:val="21"/>
          <w:szCs w:val="21"/>
          <w:highlight w:val="none"/>
          <w:u w:val="single"/>
          <w:lang w:val="en-US" w:eastAsia="zh-CN"/>
        </w:rPr>
        <w:t>或者交易违约等事项</w:t>
      </w:r>
      <w:r>
        <w:rPr>
          <w:rFonts w:hint="eastAsia" w:ascii="楷体" w:hAnsi="楷体" w:eastAsia="楷体" w:cs="Times New Roman"/>
          <w:b/>
          <w:sz w:val="21"/>
          <w:szCs w:val="21"/>
          <w:highlight w:val="none"/>
          <w:u w:val="single"/>
        </w:rPr>
        <w:t>而蒙受相应损失，投资者应充分认识投资风险，谨慎投资</w:t>
      </w:r>
      <w:r>
        <w:rPr>
          <w:rFonts w:hint="eastAsia" w:ascii="楷体" w:hAnsi="楷体" w:eastAsia="楷体" w:cs="Times New Roman"/>
          <w:b/>
          <w:sz w:val="21"/>
          <w:szCs w:val="21"/>
          <w:highlight w:val="none"/>
          <w:u w:val="single"/>
          <w:lang w:eastAsia="zh-CN"/>
        </w:rPr>
        <w:t>。</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本理财产品过往业绩不代表其未来表现，不等于理财产品实际收益，投资须谨慎；理财非存款、产品有风险、投资须谨慎。</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本理财产品任何业绩比较基准</w:t>
      </w:r>
      <w:r>
        <w:rPr>
          <w:rFonts w:hint="eastAsia" w:ascii="楷体" w:hAnsi="楷体" w:eastAsia="楷体" w:cs="Times New Roman"/>
          <w:b/>
          <w:sz w:val="21"/>
          <w:szCs w:val="21"/>
          <w:highlight w:val="none"/>
          <w:u w:val="single"/>
          <w:lang w:val="en-US" w:eastAsia="zh-CN"/>
        </w:rPr>
        <w:t>及</w:t>
      </w:r>
      <w:r>
        <w:rPr>
          <w:rFonts w:hint="eastAsia" w:ascii="楷体" w:hAnsi="楷体" w:eastAsia="楷体" w:cs="Times New Roman"/>
          <w:b/>
          <w:sz w:val="21"/>
          <w:szCs w:val="21"/>
          <w:highlight w:val="none"/>
          <w:u w:val="single"/>
        </w:rPr>
        <w:t>类似表述均属不具有法律约束力的用语</w:t>
      </w:r>
      <w:r>
        <w:rPr>
          <w:rFonts w:hint="eastAsia" w:ascii="楷体" w:hAnsi="楷体" w:eastAsia="楷体" w:cs="Times New Roman"/>
          <w:b/>
          <w:sz w:val="21"/>
          <w:szCs w:val="21"/>
          <w:highlight w:val="none"/>
          <w:u w:val="single"/>
          <w:lang w:eastAsia="zh-CN"/>
        </w:rPr>
        <w:t>。</w:t>
      </w:r>
      <w:r>
        <w:rPr>
          <w:rFonts w:hint="eastAsia" w:ascii="楷体" w:hAnsi="楷体" w:eastAsia="楷体" w:cs="Times New Roman"/>
          <w:b/>
          <w:sz w:val="21"/>
          <w:szCs w:val="21"/>
          <w:highlight w:val="none"/>
          <w:u w:val="single"/>
        </w:rPr>
        <w:t>业绩比较基准</w:t>
      </w:r>
      <w:r>
        <w:rPr>
          <w:rFonts w:hint="eastAsia" w:ascii="楷体" w:hAnsi="楷体" w:eastAsia="楷体" w:cs="Times New Roman"/>
          <w:b/>
          <w:sz w:val="21"/>
          <w:szCs w:val="21"/>
          <w:highlight w:val="none"/>
          <w:u w:val="single"/>
          <w:lang w:val="en-US" w:eastAsia="zh-CN"/>
        </w:rPr>
        <w:t>为</w:t>
      </w:r>
      <w:r>
        <w:rPr>
          <w:rFonts w:hint="eastAsia" w:ascii="楷体" w:hAnsi="楷体" w:eastAsia="楷体" w:cs="Times New Roman"/>
          <w:b/>
          <w:sz w:val="21"/>
          <w:szCs w:val="21"/>
          <w:highlight w:val="none"/>
          <w:u w:val="single"/>
        </w:rPr>
        <w:t>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如有）</w:t>
      </w:r>
      <w:r>
        <w:rPr>
          <w:rFonts w:hint="eastAsia" w:ascii="楷体" w:hAnsi="楷体" w:eastAsia="楷体"/>
          <w:sz w:val="21"/>
          <w:szCs w:val="21"/>
          <w:highlight w:val="none"/>
        </w:rPr>
        <w:t>、不可抗力风险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关联关系及关联交易风险、</w:t>
      </w:r>
      <w:r>
        <w:rPr>
          <w:rFonts w:hint="eastAsia" w:ascii="楷体" w:hAnsi="楷体" w:eastAsia="楷体"/>
          <w:sz w:val="21"/>
          <w:szCs w:val="21"/>
          <w:highlight w:val="none"/>
          <w:lang w:eastAsia="zh-CN"/>
        </w:rPr>
        <w:t>特定投资标的风险</w:t>
      </w:r>
      <w:r>
        <w:rPr>
          <w:rFonts w:hint="eastAsia" w:ascii="楷体" w:hAnsi="楷体" w:eastAsia="楷体"/>
          <w:sz w:val="21"/>
          <w:szCs w:val="21"/>
          <w:highlight w:val="none"/>
        </w:rPr>
        <w:t>等。请仔细阅读《“苏银理财恒源</w:t>
      </w:r>
      <w:r>
        <w:rPr>
          <w:rFonts w:hint="eastAsia" w:ascii="楷体" w:hAnsi="楷体" w:eastAsia="楷体"/>
          <w:sz w:val="21"/>
          <w:szCs w:val="21"/>
          <w:highlight w:val="none"/>
          <w:lang w:eastAsia="zh-CN"/>
        </w:rPr>
        <w:t>最短持有90天</w:t>
      </w:r>
      <w:r>
        <w:rPr>
          <w:rFonts w:hint="eastAsia" w:ascii="楷体" w:hAnsi="楷体" w:eastAsia="楷体"/>
          <w:sz w:val="21"/>
          <w:szCs w:val="21"/>
          <w:highlight w:val="none"/>
        </w:rPr>
        <w:t>”理财产品风险揭示书》的“风险揭示”部分。</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sz w:val="21"/>
          <w:szCs w:val="21"/>
          <w:highlight w:val="none"/>
        </w:rPr>
      </w:pPr>
      <w:r>
        <w:rPr>
          <w:rFonts w:hint="eastAsia" w:ascii="楷体" w:hAnsi="楷体" w:eastAsia="楷体" w:cs="Times New Roman"/>
          <w:sz w:val="21"/>
          <w:szCs w:val="21"/>
          <w:highlight w:val="none"/>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产品要素</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sz w:val="21"/>
          <w:szCs w:val="21"/>
          <w:highlight w:val="none"/>
          <w:lang w:val="en-US" w:eastAsia="zh-CN"/>
        </w:rPr>
      </w:pPr>
      <w:r>
        <w:rPr>
          <w:rFonts w:hint="eastAsia" w:ascii="楷体" w:hAnsi="楷体" w:eastAsia="楷体" w:cs="Calibri"/>
          <w:sz w:val="21"/>
          <w:szCs w:val="21"/>
          <w:highlight w:val="none"/>
          <w:lang w:val="en-US" w:eastAsia="zh-CN"/>
        </w:rPr>
        <w:t>为保护投资者合法权益，尊重投资者的知情权和自主选择权，现将本理财产品的基本要素说明如下：</w:t>
      </w:r>
    </w:p>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产品名称</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苏银理财恒源最短持有90天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理财产品登记编码</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default" w:ascii="楷体" w:hAnsi="楷体" w:eastAsia="楷体" w:cs="宋体"/>
                <w:spacing w:val="-2"/>
                <w:sz w:val="18"/>
                <w:szCs w:val="18"/>
                <w:highlight w:val="none"/>
                <w:lang w:val="en-US" w:eastAsia="zh-CN"/>
              </w:rPr>
              <w:t>Z7003122000081，投资者可依据该编码在中国理财网www.chinawealth.com.cn查询产品信息。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lang w:val="en-US" w:eastAsia="zh-CN"/>
              </w:rPr>
              <w:t>销售名称</w:t>
            </w:r>
            <w:r>
              <w:rPr>
                <w:rFonts w:hint="eastAsia" w:ascii="楷体" w:hAnsi="楷体" w:eastAsia="楷体" w:cs="宋体"/>
                <w:b/>
                <w:spacing w:val="-2"/>
                <w:sz w:val="18"/>
                <w:szCs w:val="18"/>
                <w:highlight w:val="none"/>
              </w:rPr>
              <w:t>/销售代码</w:t>
            </w:r>
          </w:p>
        </w:tc>
        <w:tc>
          <w:tcPr>
            <w:tcW w:w="7937" w:type="dxa"/>
            <w:noWrap w:val="0"/>
            <w:vAlign w:val="center"/>
          </w:tcPr>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F份额：苏银理财恒源最短持有90天F/J02976</w:t>
            </w:r>
          </w:p>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JS份额：苏银理财恒源最短持有90天JS鑫福款/J03395</w:t>
            </w:r>
          </w:p>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G份额：苏银理财恒源最短持有90天G/J03496</w:t>
            </w:r>
          </w:p>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H份额：苏银理财恒源最短持有90天H/J03541</w:t>
            </w:r>
          </w:p>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芙蓉锦程·优选份额：苏银理财恒源最短持有90天（芙蓉锦程·优选）/J03604</w:t>
            </w:r>
          </w:p>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芙蓉锦程·优选-新客专享份额：苏银理财恒源最短持有90天（芙蓉锦程·优选-新客专享）/J03748</w:t>
            </w:r>
          </w:p>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芙蓉锦程·优选-代发客户专享份额：苏银理财恒源最短持有90天（芙蓉锦程·优选-代发客户专享）/J03778</w:t>
            </w:r>
          </w:p>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M</w:t>
            </w:r>
            <w:r>
              <w:rPr>
                <w:rFonts w:hint="default" w:ascii="楷体" w:hAnsi="楷体" w:eastAsia="楷体" w:cs="宋体"/>
                <w:spacing w:val="-2"/>
                <w:sz w:val="18"/>
                <w:szCs w:val="18"/>
                <w:highlight w:val="none"/>
                <w:lang w:val="en-US" w:eastAsia="zh-CN"/>
              </w:rPr>
              <w:t>份额：苏银理财恒源最短持有90天</w:t>
            </w:r>
            <w:r>
              <w:rPr>
                <w:rFonts w:hint="eastAsia" w:ascii="楷体" w:hAnsi="楷体" w:eastAsia="楷体" w:cs="宋体"/>
                <w:spacing w:val="-2"/>
                <w:sz w:val="18"/>
                <w:szCs w:val="18"/>
                <w:highlight w:val="none"/>
                <w:lang w:val="en-US" w:eastAsia="zh-CN"/>
              </w:rPr>
              <w:t>M</w:t>
            </w:r>
            <w:r>
              <w:rPr>
                <w:rFonts w:hint="default" w:ascii="楷体" w:hAnsi="楷体" w:eastAsia="楷体" w:cs="宋体"/>
                <w:spacing w:val="-2"/>
                <w:sz w:val="18"/>
                <w:szCs w:val="18"/>
                <w:highlight w:val="none"/>
                <w:lang w:val="en-US" w:eastAsia="zh-CN"/>
              </w:rPr>
              <w:t>/J07882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产品类型</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b/>
                <w:spacing w:val="-2"/>
                <w:sz w:val="18"/>
                <w:szCs w:val="18"/>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产品内部风险评级</w:t>
            </w:r>
          </w:p>
        </w:tc>
        <w:tc>
          <w:tcPr>
            <w:tcW w:w="793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21" w:leftChars="10" w:right="21" w:rightChars="10" w:firstLine="0" w:firstLineChars="0"/>
              <w:jc w:val="both"/>
              <w:textAlignment w:val="auto"/>
              <w:rPr>
                <w:rFonts w:hint="eastAsia" w:ascii="楷体" w:hAnsi="楷体" w:eastAsia="楷体"/>
                <w:color w:val="auto"/>
                <w:sz w:val="18"/>
                <w:szCs w:val="18"/>
                <w:highlight w:val="none"/>
              </w:rPr>
            </w:pPr>
            <w:r>
              <w:rPr>
                <w:rFonts w:hint="eastAsia" w:ascii="楷体" w:hAnsi="楷体" w:eastAsia="楷体"/>
                <w:color w:val="auto"/>
                <w:sz w:val="18"/>
                <w:szCs w:val="18"/>
                <w:highlight w:val="none"/>
                <w:lang w:val="en-US" w:eastAsia="zh-CN"/>
              </w:rPr>
              <w:t>1.</w:t>
            </w:r>
            <w:r>
              <w:rPr>
                <w:rFonts w:hint="eastAsia" w:ascii="楷体" w:hAnsi="楷体" w:eastAsia="楷体"/>
                <w:color w:val="auto"/>
                <w:sz w:val="18"/>
                <w:szCs w:val="18"/>
                <w:highlight w:val="none"/>
              </w:rPr>
              <w:t>本理财产品经苏银理财内部风险评级为</w:t>
            </w:r>
            <w:r>
              <w:rPr>
                <w:rFonts w:hint="eastAsia" w:ascii="楷体" w:hAnsi="楷体" w:eastAsia="楷体"/>
                <w:b/>
                <w:color w:val="auto"/>
                <w:sz w:val="18"/>
                <w:szCs w:val="18"/>
                <w:highlight w:val="none"/>
                <w:u w:val="single"/>
              </w:rPr>
              <w:t>★★二级，适合中低风险型投资者，适合投资策略为稳健发展</w:t>
            </w:r>
            <w:r>
              <w:rPr>
                <w:rFonts w:hint="eastAsia" w:ascii="楷体" w:hAnsi="楷体" w:eastAsia="楷体"/>
                <w:b/>
                <w:color w:val="auto"/>
                <w:sz w:val="18"/>
                <w:szCs w:val="18"/>
                <w:highlight w:val="none"/>
                <w:u w:val="single"/>
                <w:lang w:val="en-US" w:eastAsia="zh-CN"/>
              </w:rPr>
              <w:t>的投资者</w:t>
            </w:r>
            <w:r>
              <w:rPr>
                <w:rFonts w:hint="eastAsia" w:ascii="楷体" w:hAnsi="楷体" w:eastAsia="楷体"/>
                <w:color w:val="auto"/>
                <w:sz w:val="18"/>
                <w:szCs w:val="18"/>
                <w:highlight w:val="none"/>
              </w:rPr>
              <w:t>。本评级为</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内部评级，由</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根据理财产品的投资组合、同类产品过往业绩和风险状况等因素，对理财产品进行评级，仅供</w:t>
            </w:r>
            <w:r>
              <w:rPr>
                <w:rFonts w:hint="eastAsia" w:ascii="楷体" w:hAnsi="楷体" w:eastAsia="楷体"/>
                <w:color w:val="auto"/>
                <w:sz w:val="18"/>
                <w:szCs w:val="18"/>
                <w:highlight w:val="none"/>
                <w:lang w:val="en-US" w:eastAsia="zh-CN"/>
              </w:rPr>
              <w:t>投资者</w:t>
            </w:r>
            <w:r>
              <w:rPr>
                <w:rFonts w:hint="eastAsia" w:ascii="楷体" w:hAnsi="楷体" w:eastAsia="楷体"/>
                <w:color w:val="auto"/>
                <w:sz w:val="18"/>
                <w:szCs w:val="18"/>
                <w:highlight w:val="none"/>
              </w:rPr>
              <w:t>参考。</w:t>
            </w:r>
          </w:p>
          <w:tbl>
            <w:tblPr>
              <w:tblStyle w:val="14"/>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风险星级</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风险级别</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适合的投资者类别</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一级（PR1）</w:t>
                  </w:r>
                </w:p>
              </w:tc>
              <w:tc>
                <w:tcPr>
                  <w:tcW w:w="1493"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低风险型</w:t>
                  </w:r>
                </w:p>
              </w:tc>
              <w:tc>
                <w:tcPr>
                  <w:tcW w:w="1229"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二级（PR2）</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中低风险型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三级（PR3）</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四级（PR4）</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五级（PR5）</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风险承受</w:t>
                  </w:r>
                </w:p>
              </w:tc>
            </w:tr>
          </w:tbl>
          <w:p>
            <w:pPr>
              <w:keepNext w:val="0"/>
              <w:keepLines w:val="0"/>
              <w:pageBreakBefore w:val="0"/>
              <w:widowControl w:val="0"/>
              <w:numPr>
                <w:ilvl w:val="0"/>
                <w:numId w:val="0"/>
              </w:numPr>
              <w:wordWrap/>
              <w:topLinePunct w:val="0"/>
              <w:autoSpaceDE/>
              <w:autoSpaceDN/>
              <w:bidi w:val="0"/>
              <w:snapToGrid w:val="0"/>
              <w:spacing w:line="240" w:lineRule="auto"/>
              <w:ind w:left="21" w:leftChars="10" w:right="21" w:rightChars="10" w:firstLine="0" w:firstLineChars="0"/>
              <w:jc w:val="both"/>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olor w:val="auto"/>
                <w:sz w:val="18"/>
                <w:szCs w:val="18"/>
                <w:highlight w:val="none"/>
                <w:lang w:val="en-US" w:eastAsia="zh-CN"/>
              </w:rPr>
              <w:t>3.</w:t>
            </w:r>
            <w:r>
              <w:rPr>
                <w:rFonts w:hint="eastAsia" w:ascii="楷体" w:hAnsi="楷体" w:eastAsia="楷体"/>
                <w:color w:val="auto"/>
                <w:sz w:val="18"/>
                <w:szCs w:val="18"/>
                <w:highlight w:val="none"/>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销售对象</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F/JS/G/H/芙蓉锦程·优选/M份额：个人和机构；</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芙蓉锦程·优选-新客专享份额：个人和机构（仅限销售机构成都银行新客户购买）；</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芙蓉锦程·优选-代发客户专享份额：个人和机构（仅限销售机构成都银行代发工资客户购买）。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币种</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份额面值</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计划发行规模</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本产品计划发行规模为20000万元，管理人有权根据实际需要调整计划发行规模。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最低发行规模</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kern w:val="0"/>
                <w:sz w:val="18"/>
                <w:szCs w:val="18"/>
                <w:highlight w:val="none"/>
                <w:lang w:val="en-US" w:eastAsia="zh-CN" w:bidi="ar-SA"/>
              </w:rPr>
              <w:t>3000万元</w:t>
            </w:r>
            <w:r>
              <w:rPr>
                <w:rFonts w:hint="eastAsia" w:ascii="楷体" w:hAnsi="楷体" w:eastAsia="楷体" w:cs="宋体"/>
                <w:spacing w:val="-2"/>
                <w:sz w:val="18"/>
                <w:szCs w:val="18"/>
                <w:highlight w:val="none"/>
              </w:rPr>
              <w:t>，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购买起点</w:t>
            </w:r>
            <w:r>
              <w:rPr>
                <w:rFonts w:ascii="楷体" w:hAnsi="楷体" w:eastAsia="楷体" w:cs="宋体"/>
                <w:b/>
                <w:spacing w:val="-2"/>
                <w:sz w:val="18"/>
                <w:szCs w:val="18"/>
                <w:highlight w:val="none"/>
              </w:rPr>
              <w:t>/</w:t>
            </w:r>
            <w:r>
              <w:rPr>
                <w:rFonts w:hint="eastAsia" w:ascii="楷体" w:hAnsi="楷体" w:eastAsia="楷体" w:cs="宋体"/>
                <w:b/>
                <w:spacing w:val="-2"/>
                <w:sz w:val="18"/>
                <w:szCs w:val="18"/>
                <w:highlight w:val="none"/>
              </w:rPr>
              <w:t>追加金额</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F/JS</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H/芙蓉锦程·优选/芙蓉锦程·优选-新客专享</w:t>
            </w:r>
            <w:r>
              <w:rPr>
                <w:rFonts w:hint="eastAsia" w:ascii="楷体" w:hAnsi="楷体" w:eastAsia="楷体"/>
                <w:sz w:val="18"/>
                <w:szCs w:val="18"/>
                <w:highlight w:val="none"/>
                <w:lang w:val="en-US" w:eastAsia="zh-CN"/>
              </w:rPr>
              <w:t>/芙蓉锦程·优选-代发客户专享</w:t>
            </w:r>
            <w:r>
              <w:rPr>
                <w:rFonts w:hint="eastAsia" w:ascii="楷体" w:hAnsi="楷体" w:eastAsia="楷体"/>
                <w:sz w:val="18"/>
                <w:szCs w:val="18"/>
                <w:highlight w:val="none"/>
              </w:rPr>
              <w:t>/M份额</w:t>
            </w:r>
            <w:r>
              <w:rPr>
                <w:rFonts w:hint="eastAsia" w:ascii="楷体" w:hAnsi="楷体" w:eastAsia="楷体"/>
                <w:sz w:val="18"/>
                <w:szCs w:val="18"/>
                <w:highlight w:val="none"/>
                <w:lang w:eastAsia="zh-CN"/>
              </w:rPr>
              <w:t>：</w:t>
            </w:r>
            <w:r>
              <w:rPr>
                <w:rFonts w:hint="eastAsia" w:ascii="楷体" w:hAnsi="楷体" w:eastAsia="楷体"/>
                <w:sz w:val="18"/>
                <w:szCs w:val="18"/>
                <w:highlight w:val="none"/>
              </w:rPr>
              <w:t>1元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lang w:val="en-US" w:eastAsia="zh-CN"/>
              </w:rPr>
            </w:pPr>
            <w:r>
              <w:rPr>
                <w:rFonts w:hint="eastAsia" w:ascii="楷体" w:hAnsi="楷体" w:eastAsia="楷体"/>
                <w:sz w:val="18"/>
                <w:szCs w:val="18"/>
                <w:highlight w:val="none"/>
                <w:lang w:val="en-US" w:eastAsia="zh-CN"/>
              </w:rPr>
              <w:t>G份额：10万元/1万元的整数倍。</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苏银理财有权对上述起点金额和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金额进行调整，并在调整前进行公告。</w:t>
            </w:r>
            <w:r>
              <w:rPr>
                <w:rFonts w:hint="eastAsia" w:ascii="楷体" w:hAnsi="楷体" w:eastAsia="楷体"/>
                <w:sz w:val="18"/>
                <w:szCs w:val="18"/>
                <w:highlight w:val="none"/>
                <w:lang w:eastAsia="zh-CN"/>
              </w:rPr>
              <w:t>（</w:t>
            </w:r>
            <w:r>
              <w:rPr>
                <w:rFonts w:hint="eastAsia" w:ascii="楷体" w:hAnsi="楷体" w:eastAsia="楷体"/>
                <w:sz w:val="18"/>
                <w:szCs w:val="18"/>
                <w:highlight w:val="none"/>
              </w:rPr>
              <w:t>具体以销售机构设置为准</w:t>
            </w:r>
            <w:r>
              <w:rPr>
                <w:rFonts w:hint="eastAsia" w:ascii="楷体" w:hAnsi="楷体" w:eastAsia="楷体"/>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2022年6月10日</w:t>
            </w:r>
            <w:r>
              <w:rPr>
                <w:rFonts w:hint="eastAsia" w:ascii="楷体" w:hAnsi="楷体" w:eastAsia="楷体" w:cs="宋体"/>
                <w:spacing w:val="-2"/>
                <w:sz w:val="18"/>
                <w:szCs w:val="18"/>
                <w:highlight w:val="none"/>
                <w:lang w:val="en-US" w:eastAsia="zh-CN"/>
              </w:rPr>
              <w:t>至</w:t>
            </w:r>
            <w:r>
              <w:rPr>
                <w:rFonts w:hint="eastAsia" w:ascii="楷体" w:hAnsi="楷体" w:eastAsia="楷体" w:cs="宋体"/>
                <w:spacing w:val="-2"/>
                <w:sz w:val="18"/>
                <w:szCs w:val="18"/>
                <w:highlight w:val="none"/>
              </w:rPr>
              <w:t>2022年6月16日。</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产品成立日</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2022年6月17日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color w:val="auto"/>
                <w:spacing w:val="-2"/>
                <w:sz w:val="18"/>
                <w:szCs w:val="18"/>
                <w:highlight w:val="none"/>
              </w:rPr>
              <w:t>产品</w:t>
            </w:r>
            <w:r>
              <w:rPr>
                <w:rFonts w:hint="eastAsia" w:ascii="楷体" w:hAnsi="楷体" w:eastAsia="楷体" w:cs="宋体"/>
                <w:b/>
                <w:color w:val="auto"/>
                <w:spacing w:val="-2"/>
                <w:sz w:val="18"/>
                <w:szCs w:val="18"/>
                <w:highlight w:val="none"/>
                <w:lang w:val="en-US" w:eastAsia="zh-CN"/>
              </w:rPr>
              <w:t>终止日/</w:t>
            </w:r>
            <w:r>
              <w:rPr>
                <w:rFonts w:hint="eastAsia" w:ascii="楷体" w:hAnsi="楷体" w:eastAsia="楷体" w:cs="宋体"/>
                <w:b/>
                <w:color w:val="auto"/>
                <w:spacing w:val="-2"/>
                <w:sz w:val="18"/>
                <w:szCs w:val="18"/>
                <w:highlight w:val="none"/>
              </w:rPr>
              <w:t>到期日</w:t>
            </w:r>
          </w:p>
        </w:tc>
        <w:tc>
          <w:tcPr>
            <w:tcW w:w="7937" w:type="dxa"/>
            <w:noWrap w:val="0"/>
            <w:vAlign w:val="top"/>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2042年6月17日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lang w:val="en-US" w:eastAsia="zh-CN"/>
              </w:rPr>
              <w:t>封闭运作期</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2022年6月17日-2022年6月23日，封闭运作期内不可申购/赎回。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份额最低持有期</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default" w:ascii="楷体" w:hAnsi="楷体" w:eastAsia="楷体" w:cs="宋体"/>
                <w:b/>
                <w:spacing w:val="-2"/>
                <w:sz w:val="18"/>
                <w:szCs w:val="18"/>
                <w:highlight w:val="none"/>
                <w:u w:val="single"/>
                <w:lang w:val="en-US" w:eastAsia="zh-CN"/>
              </w:rPr>
            </w:pPr>
            <w:r>
              <w:rPr>
                <w:rFonts w:ascii="楷体" w:hAnsi="楷体" w:eastAsia="楷体" w:cs="宋体"/>
                <w:b/>
                <w:spacing w:val="-2"/>
                <w:sz w:val="18"/>
                <w:szCs w:val="18"/>
                <w:highlight w:val="none"/>
                <w:u w:val="single"/>
              </w:rPr>
              <w:t>份额自确认日起最低持有</w:t>
            </w:r>
            <w:r>
              <w:rPr>
                <w:rFonts w:hint="eastAsia" w:ascii="楷体" w:hAnsi="楷体" w:eastAsia="楷体" w:cs="宋体"/>
                <w:b/>
                <w:spacing w:val="-2"/>
                <w:sz w:val="18"/>
                <w:szCs w:val="18"/>
                <w:highlight w:val="none"/>
                <w:u w:val="single"/>
                <w:lang w:val="en-US" w:eastAsia="zh-CN"/>
              </w:rPr>
              <w:t>期为90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w:t>
            </w:r>
            <w:r>
              <w:rPr>
                <w:rFonts w:hint="eastAsia" w:ascii="楷体" w:hAnsi="楷体" w:eastAsia="楷体" w:cs="宋体"/>
                <w:b/>
                <w:spacing w:val="-2"/>
                <w:sz w:val="18"/>
                <w:szCs w:val="18"/>
                <w:highlight w:val="none"/>
                <w:u w:val="single"/>
                <w:lang w:val="en-US" w:eastAsia="zh-CN"/>
              </w:rPr>
              <w:t>90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以内不可提出赎回申请</w:t>
            </w:r>
            <w:r>
              <w:rPr>
                <w:rFonts w:hint="eastAsia" w:ascii="楷体" w:hAnsi="楷体" w:eastAsia="楷体" w:cs="宋体"/>
                <w:b/>
                <w:spacing w:val="-2"/>
                <w:sz w:val="18"/>
                <w:szCs w:val="18"/>
                <w:highlight w:val="none"/>
                <w:u w:val="single"/>
                <w:lang w:eastAsia="zh-CN"/>
              </w:rPr>
              <w:t>。（</w:t>
            </w:r>
            <w:r>
              <w:rPr>
                <w:rFonts w:hint="eastAsia" w:ascii="楷体" w:hAnsi="楷体" w:eastAsia="楷体" w:cs="宋体"/>
                <w:b/>
                <w:spacing w:val="-2"/>
                <w:sz w:val="18"/>
                <w:szCs w:val="18"/>
                <w:highlight w:val="none"/>
                <w:u w:val="single"/>
                <w:lang w:val="en-US" w:eastAsia="zh-CN"/>
              </w:rPr>
              <w:t>封闭运作期除外）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开放计划</w:t>
            </w:r>
          </w:p>
        </w:tc>
        <w:tc>
          <w:tcPr>
            <w:tcW w:w="7937" w:type="dxa"/>
            <w:noWrap w:val="0"/>
            <w:vAlign w:val="top"/>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本产品封闭运作期结束后，自2022年6月2</w:t>
            </w:r>
            <w:r>
              <w:rPr>
                <w:rFonts w:hint="eastAsia" w:ascii="楷体" w:hAnsi="楷体" w:eastAsia="楷体" w:cs="宋体"/>
                <w:b/>
                <w:bCs/>
                <w:spacing w:val="-2"/>
                <w:sz w:val="18"/>
                <w:szCs w:val="18"/>
                <w:highlight w:val="none"/>
                <w:u w:val="single"/>
                <w:lang w:val="en-US" w:eastAsia="zh-CN"/>
              </w:rPr>
              <w:t>4</w:t>
            </w:r>
            <w:r>
              <w:rPr>
                <w:rFonts w:hint="eastAsia" w:ascii="楷体" w:hAnsi="楷体" w:eastAsia="楷体" w:cs="宋体"/>
                <w:b/>
                <w:bCs/>
                <w:spacing w:val="-2"/>
                <w:sz w:val="18"/>
                <w:szCs w:val="18"/>
                <w:highlight w:val="none"/>
                <w:u w:val="single"/>
              </w:rPr>
              <w:t>日起</w:t>
            </w:r>
            <w:r>
              <w:rPr>
                <w:rFonts w:hint="eastAsia" w:ascii="楷体" w:hAnsi="楷体" w:eastAsia="楷体" w:cs="宋体"/>
                <w:b/>
                <w:bCs/>
                <w:spacing w:val="-2"/>
                <w:sz w:val="18"/>
                <w:szCs w:val="18"/>
                <w:highlight w:val="none"/>
                <w:u w:val="single"/>
                <w:lang w:val="en-US" w:eastAsia="zh-CN"/>
              </w:rPr>
              <w:t>按开放日</w:t>
            </w:r>
            <w:r>
              <w:rPr>
                <w:rFonts w:hint="eastAsia" w:ascii="楷体" w:hAnsi="楷体" w:eastAsia="楷体" w:cs="宋体"/>
                <w:b/>
                <w:bCs/>
                <w:spacing w:val="-2"/>
                <w:sz w:val="18"/>
                <w:szCs w:val="18"/>
                <w:highlight w:val="none"/>
                <w:u w:val="single"/>
              </w:rPr>
              <w:t>接受</w:t>
            </w:r>
            <w:r>
              <w:rPr>
                <w:rFonts w:hint="eastAsia" w:ascii="楷体" w:hAnsi="楷体" w:eastAsia="楷体" w:cs="宋体"/>
                <w:b/>
                <w:bCs/>
                <w:spacing w:val="-2"/>
                <w:sz w:val="18"/>
                <w:szCs w:val="18"/>
                <w:highlight w:val="none"/>
                <w:u w:val="single"/>
                <w:lang w:val="en-US" w:eastAsia="zh-CN"/>
              </w:rPr>
              <w:t>投资者的</w:t>
            </w:r>
            <w:r>
              <w:rPr>
                <w:rFonts w:hint="eastAsia" w:ascii="楷体" w:hAnsi="楷体" w:eastAsia="楷体" w:cs="宋体"/>
                <w:b/>
                <w:bCs/>
                <w:spacing w:val="-2"/>
                <w:sz w:val="18"/>
                <w:szCs w:val="18"/>
                <w:highlight w:val="none"/>
                <w:u w:val="single"/>
              </w:rPr>
              <w:t>申购/赎回申请，每个交易日为产品开放日。</w:t>
            </w:r>
            <w:r>
              <w:rPr>
                <w:rFonts w:hint="eastAsia" w:ascii="楷体" w:hAnsi="楷体" w:eastAsia="楷体" w:cs="宋体"/>
                <w:spacing w:val="-2"/>
                <w:sz w:val="18"/>
                <w:szCs w:val="18"/>
                <w:highlight w:val="none"/>
              </w:rPr>
              <w:t>管理人有权根据资产运作情况、节假日安排</w:t>
            </w:r>
            <w:r>
              <w:rPr>
                <w:rFonts w:hint="eastAsia" w:ascii="楷体" w:hAnsi="楷体" w:eastAsia="楷体" w:cs="宋体"/>
                <w:spacing w:val="-2"/>
                <w:sz w:val="18"/>
                <w:szCs w:val="18"/>
                <w:highlight w:val="none"/>
                <w:lang w:val="en-US" w:eastAsia="zh-CN"/>
              </w:rPr>
              <w:t>等</w:t>
            </w:r>
            <w:r>
              <w:rPr>
                <w:rFonts w:hint="eastAsia" w:ascii="楷体" w:hAnsi="楷体" w:eastAsia="楷体" w:cs="宋体"/>
                <w:spacing w:val="-2"/>
                <w:sz w:val="18"/>
                <w:szCs w:val="18"/>
                <w:highlight w:val="none"/>
              </w:rPr>
              <w:t>调整开放日，并在调整前进行公告。</w:t>
            </w:r>
            <w:r>
              <w:rPr>
                <w:rFonts w:hint="eastAsia" w:ascii="楷体" w:hAnsi="楷体" w:eastAsia="楷体" w:cs="宋体"/>
                <w:b/>
                <w:bCs/>
                <w:spacing w:val="-2"/>
                <w:sz w:val="18"/>
                <w:szCs w:val="18"/>
                <w:highlight w:val="none"/>
                <w:u w:val="single"/>
              </w:rPr>
              <w:t>交易日指上海证券交易所和深圳证券交易所的正常开盘交易日。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单笔</w:t>
            </w:r>
            <w:r>
              <w:rPr>
                <w:rFonts w:hint="eastAsia" w:ascii="楷体" w:hAnsi="楷体" w:eastAsia="楷体" w:cs="宋体"/>
                <w:b/>
                <w:spacing w:val="-2"/>
                <w:sz w:val="18"/>
                <w:szCs w:val="18"/>
                <w:highlight w:val="none"/>
                <w:lang w:val="en-US" w:eastAsia="zh-CN"/>
              </w:rPr>
              <w:t>购买</w:t>
            </w:r>
            <w:r>
              <w:rPr>
                <w:rFonts w:hint="eastAsia" w:ascii="楷体" w:hAnsi="楷体" w:eastAsia="楷体" w:cs="宋体"/>
                <w:b/>
                <w:spacing w:val="-2"/>
                <w:sz w:val="18"/>
                <w:szCs w:val="18"/>
                <w:highlight w:val="none"/>
              </w:rPr>
              <w:t>上限</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元。超过购买上限时，管理人有权拒绝投资者</w:t>
            </w:r>
            <w:r>
              <w:rPr>
                <w:rFonts w:hint="eastAsia" w:ascii="楷体" w:hAnsi="楷体" w:eastAsia="楷体" w:cs="宋体"/>
                <w:spacing w:val="-2"/>
                <w:sz w:val="18"/>
                <w:szCs w:val="18"/>
                <w:highlight w:val="none"/>
                <w:lang w:val="en-US" w:eastAsia="zh-CN"/>
              </w:rPr>
              <w:t>购买</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持有比例上限</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w:t>
            </w:r>
            <w:r>
              <w:rPr>
                <w:rFonts w:ascii="楷体" w:hAnsi="楷体" w:eastAsia="楷体" w:cs="宋体"/>
                <w:b/>
                <w:spacing w:val="-2"/>
                <w:sz w:val="18"/>
                <w:szCs w:val="18"/>
                <w:highlight w:val="none"/>
              </w:rPr>
              <w:t>申购</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rPr>
            </w:pPr>
            <w:r>
              <w:rPr>
                <w:rFonts w:hint="eastAsia" w:ascii="楷体" w:hAnsi="楷体" w:eastAsia="楷体" w:cs="宋体"/>
                <w:spacing w:val="-2"/>
                <w:kern w:val="0"/>
                <w:sz w:val="18"/>
                <w:szCs w:val="18"/>
                <w:highlight w:val="none"/>
              </w:rPr>
              <w:t>本产品单个开放日投资者净申购额（申购申请份额总数扣除赎回申请份额总数）超过上一日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巨额赎回</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w:t>
            </w:r>
            <w:r>
              <w:rPr>
                <w:rFonts w:hint="eastAsia" w:ascii="楷体" w:hAnsi="楷体" w:eastAsia="楷体" w:cs="宋体"/>
                <w:b/>
                <w:bCs/>
                <w:spacing w:val="-2"/>
                <w:sz w:val="18"/>
                <w:szCs w:val="18"/>
                <w:highlight w:val="none"/>
                <w:u w:val="single"/>
                <w:lang w:val="en-US" w:eastAsia="zh-CN"/>
              </w:rPr>
              <w:t>单</w:t>
            </w:r>
            <w:r>
              <w:rPr>
                <w:rFonts w:hint="eastAsia" w:ascii="楷体" w:hAnsi="楷体" w:eastAsia="楷体" w:cs="宋体"/>
                <w:b/>
                <w:bCs/>
                <w:spacing w:val="-2"/>
                <w:sz w:val="18"/>
                <w:szCs w:val="18"/>
                <w:highlight w:val="none"/>
                <w:u w:val="single"/>
              </w:rPr>
              <w:t>个开放日投资者净赎回额（赎回申请份额总数扣除申购申请份额总数）超过上一日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2.部分赎回</w:t>
            </w:r>
            <w:r>
              <w:rPr>
                <w:rFonts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highlight w:val="none"/>
                <w:u w:val="none"/>
                <w:lang w:val="en-US" w:eastAsia="zh-CN"/>
              </w:rPr>
              <w:t>日</w:t>
            </w:r>
            <w:r>
              <w:rPr>
                <w:rFonts w:hint="eastAsia" w:ascii="楷体" w:hAnsi="楷体" w:eastAsia="楷体" w:cs="宋体"/>
                <w:b w:val="0"/>
                <w:bCs/>
                <w:spacing w:val="-2"/>
                <w:sz w:val="18"/>
                <w:szCs w:val="18"/>
                <w:highlight w:val="none"/>
                <w:u w:val="none"/>
              </w:rPr>
              <w:t>日终理财产品总份额的10%，对其余赎回申请管理人有权暂停接受或延期办理。对该产品单个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的赎回申请，按照其申请占当日申请赎回总份额的比例，确定该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highlight w:val="none"/>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业绩比较基准</w:t>
            </w:r>
          </w:p>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（年化）</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lang w:val="en-US" w:eastAsia="zh-CN"/>
              </w:rPr>
            </w:pPr>
            <w:r>
              <w:rPr>
                <w:rFonts w:hint="eastAsia" w:ascii="楷体" w:hAnsi="楷体" w:eastAsia="楷体" w:cs="宋体"/>
                <w:b/>
                <w:spacing w:val="-2"/>
                <w:sz w:val="18"/>
                <w:szCs w:val="18"/>
                <w:highlight w:val="none"/>
                <w:u w:val="single"/>
                <w:lang w:val="en-US" w:eastAsia="zh-CN"/>
              </w:rPr>
              <w:t>1.管理人</w:t>
            </w:r>
            <w:r>
              <w:rPr>
                <w:rFonts w:hint="eastAsia" w:ascii="楷体" w:hAnsi="楷体" w:eastAsia="楷体" w:cs="宋体"/>
                <w:b/>
                <w:spacing w:val="-2"/>
                <w:sz w:val="18"/>
                <w:szCs w:val="18"/>
                <w:highlight w:val="none"/>
                <w:u w:val="single"/>
              </w:rPr>
              <w:t>参考过往投资经验，依据近期</w:t>
            </w:r>
            <w:r>
              <w:rPr>
                <w:rFonts w:hint="eastAsia" w:ascii="楷体" w:hAnsi="楷体" w:eastAsia="楷体" w:cs="宋体"/>
                <w:b/>
                <w:spacing w:val="-2"/>
                <w:sz w:val="18"/>
                <w:szCs w:val="18"/>
                <w:highlight w:val="none"/>
                <w:u w:val="single"/>
                <w:lang w:val="en-US" w:eastAsia="zh-CN"/>
              </w:rPr>
              <w:t>货币市场工具、债券等</w:t>
            </w:r>
            <w:r>
              <w:rPr>
                <w:rFonts w:hint="eastAsia" w:ascii="楷体" w:hAnsi="楷体" w:eastAsia="楷体" w:cs="宋体"/>
                <w:b/>
                <w:spacing w:val="-2"/>
                <w:sz w:val="18"/>
                <w:szCs w:val="18"/>
                <w:highlight w:val="none"/>
                <w:u w:val="single"/>
              </w:rPr>
              <w:t>资产投资收益水平，在产品说明书约定的投资范围和投资比例内，综合考虑各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lang w:val="en-US" w:eastAsia="zh-CN"/>
              </w:rPr>
              <w:t>2.本产品各类份额可能因收取的销售服务费和投资管理费存在差异，业绩比较基准设置有所不同。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default" w:ascii="楷体" w:hAnsi="楷体" w:eastAsia="楷体" w:cs="宋体"/>
                <w:b w:val="0"/>
                <w:bCs/>
                <w:spacing w:val="-2"/>
                <w:sz w:val="18"/>
                <w:szCs w:val="18"/>
                <w:highlight w:val="none"/>
                <w:u w:val="none"/>
                <w:lang w:val="en-US" w:eastAsia="zh-CN"/>
              </w:rPr>
            </w:pPr>
            <w:r>
              <w:rPr>
                <w:rFonts w:hint="eastAsia" w:ascii="楷体" w:hAnsi="楷体" w:eastAsia="楷体" w:cs="宋体"/>
                <w:b w:val="0"/>
                <w:bCs/>
                <w:spacing w:val="-2"/>
                <w:sz w:val="18"/>
                <w:szCs w:val="18"/>
                <w:highlight w:val="none"/>
                <w:u w:val="none"/>
                <w:lang w:val="en-US" w:eastAsia="zh-CN"/>
              </w:rPr>
              <w:t>F份额：1.80%-2.80%；JS份额：1.80%-2.80%；G份额：2.00%-3.00%；H份额：1.80%-2.80%；芙蓉锦程·优选份额：1.80%-2.80%；芙蓉锦程·优选-新客专享份额：1.90%-2.90%；芙蓉锦程·优选-代发客户专享份额：1.90%-2.90%；M份额：1.80%-2.80%。</w:t>
            </w:r>
          </w:p>
          <w:p>
            <w:pPr>
              <w:keepNext w:val="0"/>
              <w:keepLines w:val="0"/>
              <w:pageBreakBefore w:val="0"/>
              <w:widowControl w:val="0"/>
              <w:kinsoku/>
              <w:wordWrap/>
              <w:overflowPunct/>
              <w:topLinePunct w:val="0"/>
              <w:autoSpaceDE/>
              <w:autoSpaceDN/>
              <w:bidi w:val="0"/>
              <w:adjustRightInd/>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产品费用</w:t>
            </w:r>
          </w:p>
        </w:tc>
        <w:tc>
          <w:tcPr>
            <w:tcW w:w="7937" w:type="dxa"/>
            <w:noWrap w:val="0"/>
            <w:vAlign w:val="center"/>
          </w:tcPr>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本产品费用包括托管费、销售服务费、投资管理费、超额业绩报酬（如有）以及产品运作和清算中产生的其他费用等。</w:t>
            </w:r>
          </w:p>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pStyle w:val="32"/>
              <w:keepNext w:val="0"/>
              <w:keepLines w:val="0"/>
              <w:pageBreakBefore w:val="0"/>
              <w:widowControl w:val="0"/>
              <w:kinsoku/>
              <w:wordWrap/>
              <w:overflowPunct/>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2.销售服务费率（年化）：F/JS/G/H份额0.20%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芙蓉锦程·优选/芙蓉锦程·优选-新客专享/芙蓉锦程·优选-代发客户专享份额0.30%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M份额0.35%。</w:t>
            </w:r>
          </w:p>
          <w:p>
            <w:pPr>
              <w:pStyle w:val="32"/>
              <w:keepNext w:val="0"/>
              <w:keepLines w:val="0"/>
              <w:pageBreakBefore w:val="0"/>
              <w:widowControl w:val="0"/>
              <w:kinsoku/>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3.投资管理费率（年化）：F份额0.60%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JS份额0.60%，G份额0.40%，H份额0.60%，芙蓉锦程·优选份额0.50%，芙蓉锦程·优选-新客专享份额0.40%，芙蓉锦程·优选-代发客户专享份额0.40%</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M份额0.45%</w:t>
            </w:r>
            <w:r>
              <w:rPr>
                <w:rFonts w:hint="eastAsia" w:ascii="楷体" w:hAnsi="楷体" w:eastAsia="楷体" w:cs="宋体"/>
                <w:spacing w:val="-2"/>
                <w:sz w:val="18"/>
                <w:szCs w:val="18"/>
                <w:highlight w:val="none"/>
                <w:lang w:eastAsia="zh-CN"/>
              </w:rPr>
              <w:t>。</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4.超额业绩报酬</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如有）</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val="en-US" w:eastAsia="zh-CN"/>
              </w:rPr>
              <w:t>假设客户持有期间的年化收益率为R：若R＜业绩比较基准下限，管理人无超额业绩报酬；若业绩比较基准下限≤R＜业绩比较基准上限，管理人对超出业绩比较基准下限的部分收取5%超额业绩报酬；若R≥业绩比较基准上限，管理人对业绩比较基准上限与业绩比较基准下限之间的部分收取5%超额业绩报酬，对超过业绩比较基准上限的部分收取30%超额业绩报酬。</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收益分配</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税款</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color w:val="auto"/>
                <w:spacing w:val="-2"/>
                <w:sz w:val="18"/>
                <w:szCs w:val="18"/>
                <w:highlight w:val="none"/>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highlight w:val="none"/>
                <w:u w:val="single"/>
              </w:rPr>
              <w:t>投资者从理财产品取得的收益应缴纳的税款，由投资者自行申报及缴纳。</w:t>
            </w:r>
          </w:p>
        </w:tc>
      </w:tr>
    </w:tbl>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产品管理人</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keepNext w:val="0"/>
        <w:keepLines w:val="0"/>
        <w:pageBreakBefore w:val="0"/>
        <w:numPr>
          <w:ilvl w:val="0"/>
          <w:numId w:val="0"/>
        </w:numPr>
        <w:wordWrap/>
        <w:topLinePunct w:val="0"/>
        <w:autoSpaceDE/>
        <w:autoSpaceDN/>
        <w:bidi w:val="0"/>
        <w:ind w:left="0" w:firstLine="420" w:firstLineChars="200"/>
        <w:textAlignment w:val="auto"/>
        <w:rPr>
          <w:rFonts w:hint="eastAsia"/>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产品托管人</w:t>
      </w:r>
    </w:p>
    <w:p>
      <w:pPr>
        <w:keepNext w:val="0"/>
        <w:keepLines w:val="0"/>
        <w:pageBreakBefore w:val="0"/>
        <w:numPr>
          <w:ilvl w:val="0"/>
          <w:numId w:val="0"/>
        </w:numPr>
        <w:wordWrap/>
        <w:topLinePunct w:val="0"/>
        <w:autoSpaceDE/>
        <w:autoSpaceDN/>
        <w:bidi w:val="0"/>
        <w:ind w:firstLine="420" w:firstLineChars="200"/>
        <w:textAlignment w:val="auto"/>
        <w:rPr>
          <w:rFonts w:hint="eastAsia"/>
          <w:highlight w:val="none"/>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highlight w:val="none"/>
          <w:u w:val="single"/>
          <w:lang w:eastAsia="zh-CN"/>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highlight w:val="none"/>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销售机构</w:t>
      </w:r>
    </w:p>
    <w:p>
      <w:pPr>
        <w:keepNext w:val="0"/>
        <w:keepLines w:val="0"/>
        <w:pageBreakBefore w:val="0"/>
        <w:numPr>
          <w:ilvl w:val="0"/>
          <w:numId w:val="0"/>
        </w:numPr>
        <w:tabs>
          <w:tab w:val="left" w:pos="1134"/>
        </w:tabs>
        <w:wordWrap/>
        <w:topLinePunct w:val="0"/>
        <w:autoSpaceDE/>
        <w:autoSpaceDN/>
        <w:bidi w:val="0"/>
        <w:ind w:left="0" w:leftChars="0"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highlight w:val="none"/>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F份额：深圳前海微众银行股份有限公司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扬州农村商业银行股份有限公司/江苏阜宁农村商业银行股份有限公司/江苏东台农村商业银行股份有限公司/江苏泰兴农村商业银行股份有限公司/江苏扬中农村商业银行股份有限公司/徐州农村商业银行股份有限公司/江苏灌南农村商业银行股份有限公司/江苏洪泽农村商业银行股份有限公司/江苏金湖农村商业银行股份有限公司/江苏沛县农村商业银行股份有限公司/江苏灌云农村商业银行股份有限公司/江苏紫金农村商业银行股份有限公司/江苏涟水农村商业银行股份有限公司/江苏东海农村商业银行股份有限公司/连云港东方农村商业银行股份有限公司/江苏句容农村商业银行股份有限公司/江苏泗阳农村商业银行股份有限公司/江苏盱眙农村商业银行股份有限公司/江苏镇江农村商业银行股份有限公司/江苏宜兴农村商业银行股份有限公司/江苏溧水农村商业银行股份有限公司/江苏大丰农村商业银行股份有限公司/江苏海安农村商业银行股份有限公司/江苏如皋农村商业银行股份有限公司/江苏仪征农村商业银行股份有限公司/江苏宝应农村商业银行股份有限公司/江苏泰州农村商业银行股份有限公司/江苏高淳农村商业银行股份有限公司/江苏赣榆农村商业银行股份有限公司/江苏丰县农村商业银行股份有限公司/江苏建湖农村商业银行股份有限公司/江苏昆山农村商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苏州银行股份有限公司/浙江萧山农村商业银行股份有限公司/宁波慈溪农村商业银行股份有限公司/浙江瑞安农村商业银行股份有限公司/武汉农村商业银行股份有限公司/浙江温州瓯海农村商业银行股份有限公司/浙江青田农村商业银行股份有限公司/浙江岱山农村商业银行股份有限公司/浙江临安农村商业银行股份有限公司/宁波余姚农村商业银行股份有限公司/浙江永嘉农村商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H份额：交通银行股份有限公司/上海农村商业银行股份有限公司/苏银理财有限责任公司/兴业银行股份有限公司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芙蓉锦程·优选份额：成都银行股份有限公司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芙蓉锦程·优选-新客专享份额：成都银行股份有限公司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芙蓉锦程·优选-代发客户专享份额：成都银行股份有限公司</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M份额：苏银理财有限责任公司/重庆农村商业银行股份有限公司</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工作日：指国家法定工作日。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交易日：</w:t>
      </w:r>
      <w:r>
        <w:rPr>
          <w:rFonts w:ascii="楷体" w:hAnsi="楷体" w:eastAsia="楷体" w:cs="Calibri"/>
          <w:color w:val="auto"/>
          <w:sz w:val="21"/>
          <w:szCs w:val="21"/>
          <w:highlight w:val="none"/>
        </w:rPr>
        <w:t>指上海证券交易所和深圳证券交易所的正常开盘交易日</w:t>
      </w:r>
      <w:r>
        <w:rPr>
          <w:rFonts w:hint="eastAsia" w:ascii="楷体" w:hAnsi="楷体" w:eastAsia="楷体" w:cs="Calibri"/>
          <w:color w:val="auto"/>
          <w:sz w:val="21"/>
          <w:szCs w:val="21"/>
          <w:highlight w:val="none"/>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份额登记日/份额确认日：指管理人对投资者提交的</w:t>
      </w:r>
      <w:r>
        <w:rPr>
          <w:rFonts w:hint="eastAsia" w:ascii="楷体" w:hAnsi="楷体" w:eastAsia="楷体" w:cs="Calibri"/>
          <w:color w:val="auto"/>
          <w:sz w:val="21"/>
          <w:szCs w:val="21"/>
          <w:highlight w:val="none"/>
          <w:lang w:val="en-US" w:eastAsia="zh-CN"/>
        </w:rPr>
        <w:t>购买</w:t>
      </w:r>
      <w:r>
        <w:rPr>
          <w:rFonts w:hint="eastAsia" w:ascii="楷体" w:hAnsi="楷体" w:eastAsia="楷体" w:cs="Calibri"/>
          <w:color w:val="auto"/>
          <w:sz w:val="21"/>
          <w:szCs w:val="21"/>
          <w:highlight w:val="none"/>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产品存续期：指自理财产品成立日起，至理财产品终止日的期间。</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投资管理</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投资范围和比例</w:t>
      </w:r>
    </w:p>
    <w:p>
      <w:pPr>
        <w:keepNext w:val="0"/>
        <w:keepLines w:val="0"/>
        <w:pageBreakBefore w:val="0"/>
        <w:wordWrap/>
        <w:topLinePunct w:val="0"/>
        <w:autoSpaceDE/>
        <w:autoSpaceDN/>
        <w:bidi w:val="0"/>
        <w:ind w:firstLine="420" w:firstLineChars="200"/>
        <w:textAlignment w:val="auto"/>
        <w:rPr>
          <w:rFonts w:hint="default" w:ascii="楷体" w:hAnsi="楷体" w:eastAsia="楷体"/>
          <w:sz w:val="21"/>
          <w:szCs w:val="21"/>
          <w:highlight w:val="none"/>
          <w:lang w:val="en-US" w:eastAsia="zh-CN"/>
        </w:rPr>
      </w:pPr>
      <w:r>
        <w:rPr>
          <w:rFonts w:hint="eastAsia" w:ascii="楷体" w:hAnsi="楷体" w:eastAsia="楷体"/>
          <w:sz w:val="21"/>
          <w:szCs w:val="21"/>
          <w:highlight w:val="none"/>
        </w:rPr>
        <w:t>本理财产品</w:t>
      </w:r>
      <w:r>
        <w:rPr>
          <w:rFonts w:hint="eastAsia" w:ascii="楷体" w:hAnsi="楷体" w:eastAsia="楷体"/>
          <w:sz w:val="21"/>
          <w:szCs w:val="21"/>
          <w:highlight w:val="none"/>
          <w:lang w:val="en-US" w:eastAsia="zh-CN"/>
        </w:rPr>
        <w:t>直接或间接投资于现金、银行存款、债券回购、中央银行票据、同业存单、拆借、货币市场基金、债券、在银行间市场和证券交易所市场发行的资产支持证券和监管机构允许投资的其他资产。具体资产投资比例为：固定收益类资产占产品资产总值比例不低于80%，其他符合监管要求的资产占产品资产总值比例不高于20%。</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投资合作机构</w:t>
      </w:r>
    </w:p>
    <w:p>
      <w:pPr>
        <w:keepNext w:val="0"/>
        <w:keepLines w:val="0"/>
        <w:pageBreakBefore w:val="0"/>
        <w:numPr>
          <w:ilvl w:val="0"/>
          <w:numId w:val="0"/>
        </w:numPr>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投资合作机构主要职责是对理财产品受托资金进行投资管理，</w:t>
      </w:r>
      <w:r>
        <w:rPr>
          <w:rFonts w:hint="eastAsia" w:ascii="楷体" w:hAnsi="楷体" w:eastAsia="楷体"/>
          <w:color w:val="auto"/>
          <w:sz w:val="21"/>
          <w:szCs w:val="21"/>
          <w:highlight w:val="none"/>
          <w:lang w:val="en-US" w:eastAsia="zh-CN"/>
        </w:rPr>
        <w:t>管理人</w:t>
      </w:r>
      <w:r>
        <w:rPr>
          <w:rFonts w:hint="eastAsia" w:ascii="楷体" w:hAnsi="楷体" w:eastAsia="楷体"/>
          <w:color w:val="auto"/>
          <w:sz w:val="21"/>
          <w:szCs w:val="21"/>
          <w:highlight w:val="none"/>
        </w:rPr>
        <w:t>已按投资决策流程对投资合作机构进行了准入，并持续开展投资合作机构的存续期管理。本产品投资合作机构包括：</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苏豪弘业期货股份有限公司：苏豪弘业期货股份有限公司成立于1995年，隶属于江苏省国资委全资拥有的国有企业江苏省苏豪控股集团有限公司。公司经营范围涵盖商品期货经纪、金融期货经纪、期货投资咨询、资产管理、基金销售业务。</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江苏省国际信托有限责任公司：江苏省国际信托有限责任公司是经江苏省人民政府和中国银行业监督管理委员会批准设立的非银行金融机构，是江苏省国信集团的主要成员企业之一，专业从事金融信托业务。</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创金合信基金管理有限公司：创金合信基金管理有限公司成立于2014年7月9日，由第一创业证券股份有限公司、深圳市金合信投资合伙企业（有限合伙）共同发起设立，注册地为深圳。</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永诚保险资产管理有限公司：永诚保险资产管理有限公司（简称“永诚资产”）是由永诚财产保险股份有限公司全资发起组建的保险资产管理公司，公司注册于浙江省宁波市，注册资本金为人民币3亿元。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陆家嘴国际信托有限公司：陆家嘴国际信托有限公司（简称陆家嘴信托或公司）是上海陆家嘴金融发展有限公司控股的信托机构，注册资本为104亿元。公司注册地为青岛，在部分城市设立业务团队。</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长城财富保险资产管理股份有限公司：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安联保险资产管理有限公司：安联保险资产管理有限公司（简称安联资管或公司）于2021年7月27日获得中国银行保险监督管理委员会的开业批复，成为中国获批开业的外资独资保险资产管理公司，注册资本为五亿元人民币，注册地北京。</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lang w:eastAsia="zh-CN"/>
        </w:rPr>
      </w:pPr>
      <w:r>
        <w:rPr>
          <w:rFonts w:hint="eastAsia" w:ascii="楷体" w:hAnsi="楷体" w:eastAsia="楷体"/>
          <w:sz w:val="21"/>
          <w:szCs w:val="21"/>
          <w:highlight w:val="none"/>
          <w:lang w:eastAsia="zh-CN"/>
        </w:rPr>
        <w:t>国投泰康信托有限公司：国投泰康信托有限公司成立于1986年6月，是由中国银保监会监管的非银行金融机构。国投泰康信托注册资本26.705亿元，股东为国投资本控股有限公司、泰康保险集团股份有限公司、悦达资本股份有限公司和泰康资产管理有限责任公司。</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鑫证券有限责任公司：华鑫证券有限责任公司于2001年3月成立，注册资本36亿元。公司秉承“以人为本、客户至上、专业专注、创造价值”的核心价值观，以金融科技引领业务发展作为核心战略，致力于为客户提供交易、投融资、财富管理等高品质的服务和产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新华资产管理股份有限公司：新华资产管理股份有限公司成立于2006年5月，是国内首批专业保险资产管理机构，前身为新华人寿保险股份有限公司投资管理中心，控股股东为新华人寿保险股份有限公司。2014年2月，经中国保险监督管理委员会批准，注册资本由1亿元增加至5亿元人民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中国人保资产管理有限公司：中国人保资产管理有限公司成立于2003年7月16日，是经国务院同意、原中国保监会批准设立的境内第一家保险资产管理公司，由中国人民保险集团股份有限公司发起。</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太平洋资产管理有限责任公司：太平洋资产管理有限责任公司（以下简称“太保资产”）于2006年6月经中国保监会批准成立，由中国太平洋保险（集团）股份有限公司控股，注册资本21亿元。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光大永明资产管理股份有限公司：光大永明资产管理股份有限公司(以下简称“光大永明资产”)于2012年4月11日在北京正式开业,是原中国保监会核准的第十二家保险资产管理公司，目前注册资本金为5亿元人民币。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紫金信托有限责任公司：紫金信托是江苏省第4家信托公司,其前身是南京市信托投资公司,2010年2月经银监会批准,以南京资金投资控股公司为主导,引入日本住友信托银行、三胞集团、南京高新技术经济开发总公司和江苏金智科技股份有限公司等四家战略投资者重组而成。2010年10月经银监会批准更名为紫金信托有限责任公司。</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云南国际信托有限公司：云南国际信托有限公司，简称“云南信托”，成立于1997年09月03日，目前注册资本22亿元，股东为云南省国有金融资本控股集团有限公司、涌金实业(集团)有限公司、上海纳米创业投资有限公司，持股比例分别为25%、24.5%、23%。经营范围包括资金信托、动产信托、不动产信托、有价证券信托、其他财产和财产权信托等。</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sz w:val="21"/>
          <w:szCs w:val="21"/>
          <w:highlight w:val="none"/>
        </w:rPr>
        <w:t>产品存续期内合作机构如有变化，管理人将按照监管规定和内部管理制度要求对合作机构进行准入，签署相关协议后，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投资限制</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本理财产品投资于单只证券或单只公募证券投资基金的市值不超过本产品净资产的10%。</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ascii="楷体" w:hAnsi="楷体" w:eastAsia="楷体"/>
          <w:color w:val="auto"/>
          <w:sz w:val="21"/>
          <w:szCs w:val="21"/>
          <w:highlight w:val="none"/>
        </w:rPr>
        <w:t>针对上述第1、2</w:t>
      </w:r>
      <w:r>
        <w:rPr>
          <w:rFonts w:hint="eastAsia" w:ascii="楷体" w:hAnsi="楷体" w:eastAsia="楷体"/>
          <w:color w:val="auto"/>
          <w:sz w:val="21"/>
          <w:szCs w:val="21"/>
          <w:highlight w:val="none"/>
          <w:lang w:eastAsia="zh-CN"/>
        </w:rPr>
        <w:t>、</w:t>
      </w:r>
      <w:r>
        <w:rPr>
          <w:rFonts w:hint="eastAsia" w:ascii="楷体" w:hAnsi="楷体" w:eastAsia="楷体"/>
          <w:color w:val="auto"/>
          <w:sz w:val="21"/>
          <w:szCs w:val="21"/>
          <w:highlight w:val="none"/>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w:t>
      </w:r>
      <w:r>
        <w:rPr>
          <w:rFonts w:hint="eastAsia" w:ascii="楷体" w:hAnsi="楷体" w:eastAsia="楷体"/>
          <w:color w:val="auto"/>
          <w:sz w:val="21"/>
          <w:szCs w:val="21"/>
          <w:highlight w:val="none"/>
          <w:lang w:val="en-US" w:eastAsia="zh-CN"/>
        </w:rPr>
        <w:t>杠杆率</w:t>
      </w:r>
      <w:r>
        <w:rPr>
          <w:rFonts w:hint="eastAsia" w:ascii="楷体" w:hAnsi="楷体" w:eastAsia="楷体"/>
          <w:color w:val="auto"/>
          <w:sz w:val="21"/>
          <w:szCs w:val="21"/>
          <w:highlight w:val="none"/>
        </w:rPr>
        <w:t>不超过140%。</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本理财产品在开放日及开放日前7个工作日内持有不低于产品资产净值5%的现金或者到期日在一年以内的国债、中央银行票据和政策性金融债券。</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在开放日前一工作日内，本理财产品7个工作日可变现资产的可变现价值应当不低于本产品净资产的10%。</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本理财产品投资不存在活跃交易市场并且需要采用估值技术确定公允价值的资产比例不得达到或超过本产品净资产的50%。非因管理人主观因素导致突破前款规定比例限制的,本理财产品不得新增投资上述资产。</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投资管理调整</w:t>
      </w:r>
    </w:p>
    <w:p>
      <w:pPr>
        <w:pStyle w:val="2"/>
        <w:keepNext w:val="0"/>
        <w:keepLines w:val="0"/>
        <w:pageBreakBefore w:val="0"/>
        <w:widowControl w:val="0"/>
        <w:kinsoku/>
        <w:wordWrap/>
        <w:overflowPunct/>
        <w:topLinePunct w:val="0"/>
        <w:autoSpaceDE/>
        <w:autoSpaceDN/>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wordWrap/>
        <w:topLinePunct w:val="0"/>
        <w:autoSpaceDE/>
        <w:autoSpaceDN/>
        <w:bidi w:val="0"/>
        <w:ind w:firstLine="420" w:firstLineChars="200"/>
        <w:textAlignment w:val="auto"/>
        <w:rPr>
          <w:rFonts w:hint="eastAsia"/>
          <w:highlight w:val="none"/>
          <w:lang w:val="en-US" w:eastAsia="zh-CN"/>
        </w:rPr>
      </w:pPr>
      <w:r>
        <w:rPr>
          <w:rFonts w:hint="eastAsia" w:ascii="楷体" w:hAnsi="楷体" w:eastAsia="楷体" w:cs="楷体"/>
          <w:color w:val="auto"/>
          <w:sz w:val="21"/>
          <w:szCs w:val="21"/>
          <w:highlight w:val="none"/>
        </w:rPr>
        <w:t>如监管有最新规定的，可参照监管规定</w:t>
      </w:r>
      <w:r>
        <w:rPr>
          <w:rFonts w:hint="eastAsia" w:ascii="楷体" w:hAnsi="楷体" w:eastAsia="楷体" w:cs="楷体"/>
          <w:color w:val="auto"/>
          <w:sz w:val="21"/>
          <w:szCs w:val="21"/>
          <w:highlight w:val="none"/>
          <w:lang w:val="en-US" w:eastAsia="zh-CN"/>
        </w:rPr>
        <w:t>执行</w:t>
      </w:r>
      <w:r>
        <w:rPr>
          <w:rFonts w:hint="eastAsia" w:ascii="楷体" w:hAnsi="楷体" w:eastAsia="楷体" w:cs="楷体"/>
          <w:color w:val="auto"/>
          <w:sz w:val="21"/>
          <w:szCs w:val="21"/>
          <w:highlight w:val="none"/>
        </w:rPr>
        <w:t>。</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产品认购</w:t>
      </w:r>
    </w:p>
    <w:p>
      <w:pPr>
        <w:keepNext w:val="0"/>
        <w:keepLines w:val="0"/>
        <w:pageBreakBefore w:val="0"/>
        <w:widowControl w:val="0"/>
        <w:numPr>
          <w:ilvl w:val="0"/>
          <w:numId w:val="9"/>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认购方式</w:t>
      </w:r>
      <w:r>
        <w:rPr>
          <w:rFonts w:hint="eastAsia" w:ascii="楷体" w:hAnsi="楷体" w:eastAsia="楷体" w:cs="Calibri"/>
          <w:b w:val="0"/>
          <w:bCs w:val="0"/>
          <w:color w:val="auto"/>
          <w:sz w:val="21"/>
          <w:szCs w:val="21"/>
          <w:highlight w:val="none"/>
          <w:lang w:val="en-US" w:eastAsia="zh-CN"/>
        </w:rPr>
        <w:t>及确认</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keepNext w:val="0"/>
        <w:keepLines w:val="0"/>
        <w:pageBreakBefore w:val="0"/>
        <w:widowControl w:val="0"/>
        <w:numPr>
          <w:ilvl w:val="0"/>
          <w:numId w:val="9"/>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认购份额的计算</w:t>
      </w:r>
    </w:p>
    <w:p>
      <w:pPr>
        <w:keepNext w:val="0"/>
        <w:keepLines w:val="0"/>
        <w:pageBreakBefore w:val="0"/>
        <w:wordWrap/>
        <w:topLinePunct w:val="0"/>
        <w:autoSpaceDE/>
        <w:autoSpaceDN/>
        <w:bidi w:val="0"/>
        <w:ind w:firstLine="420" w:firstLineChars="200"/>
        <w:textAlignment w:val="auto"/>
        <w:rPr>
          <w:rFonts w:hint="eastAsia"/>
          <w:highlight w:val="none"/>
        </w:rPr>
      </w:pP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认购金额</w:t>
      </w:r>
      <w:r>
        <w:rPr>
          <w:rFonts w:ascii="楷体" w:hAnsi="楷体" w:eastAsia="楷体"/>
          <w:color w:val="auto"/>
          <w:sz w:val="21"/>
          <w:szCs w:val="21"/>
          <w:highlight w:val="none"/>
        </w:rPr>
        <w:t>/</w:t>
      </w:r>
      <w:r>
        <w:rPr>
          <w:rFonts w:hint="eastAsia" w:ascii="楷体" w:hAnsi="楷体" w:eastAsia="楷体"/>
          <w:color w:val="auto"/>
          <w:sz w:val="21"/>
          <w:szCs w:val="21"/>
          <w:highlight w:val="none"/>
        </w:rPr>
        <w:t>产品</w:t>
      </w:r>
      <w:r>
        <w:rPr>
          <w:rFonts w:hint="eastAsia" w:ascii="楷体" w:hAnsi="楷体" w:eastAsia="楷体"/>
          <w:color w:val="auto"/>
          <w:sz w:val="21"/>
          <w:szCs w:val="21"/>
          <w:highlight w:val="none"/>
          <w:lang w:val="en-US" w:eastAsia="zh-CN"/>
        </w:rPr>
        <w:t>份额面值，</w:t>
      </w: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以四舍五入的方法保留到小数点后两位。</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产品申购、赎回</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开放计划</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本产品</w:t>
      </w:r>
      <w:r>
        <w:rPr>
          <w:rFonts w:hint="eastAsia" w:ascii="楷体" w:hAnsi="楷体" w:eastAsia="楷体" w:cs="Calibri"/>
          <w:b w:val="0"/>
          <w:bCs/>
          <w:sz w:val="21"/>
          <w:szCs w:val="21"/>
          <w:highlight w:val="none"/>
          <w:lang w:val="en-US" w:eastAsia="zh-CN"/>
        </w:rPr>
        <w:t>封闭运作</w:t>
      </w:r>
      <w:r>
        <w:rPr>
          <w:rFonts w:hint="eastAsia" w:ascii="楷体" w:hAnsi="楷体" w:eastAsia="楷体" w:cs="Calibri"/>
          <w:b w:val="0"/>
          <w:bCs/>
          <w:sz w:val="21"/>
          <w:szCs w:val="21"/>
          <w:highlight w:val="none"/>
        </w:rPr>
        <w:t>期结束后</w:t>
      </w:r>
      <w:r>
        <w:rPr>
          <w:rFonts w:hint="eastAsia" w:ascii="楷体" w:hAnsi="楷体" w:eastAsia="楷体" w:cs="Calibri"/>
          <w:b w:val="0"/>
          <w:bCs/>
          <w:sz w:val="21"/>
          <w:szCs w:val="21"/>
          <w:highlight w:val="none"/>
          <w:lang w:val="en-US" w:eastAsia="zh-CN"/>
        </w:rPr>
        <w:t>，按开放日接受投资者的申购/赎回申请，每个交易日为产品开放日（T日），其中投资者赎回份额需满足最短持有时间。开放日闭市前的申购/赎回申请当日受理</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lang w:val="en-US" w:eastAsia="zh-CN"/>
        </w:rPr>
        <w:t>闭市后的申购/赎回申请</w:t>
      </w:r>
      <w:r>
        <w:rPr>
          <w:rFonts w:hint="eastAsia" w:ascii="楷体" w:hAnsi="楷体" w:eastAsia="楷体" w:cs="Calibri"/>
          <w:b w:val="0"/>
          <w:bCs/>
          <w:sz w:val="21"/>
          <w:szCs w:val="21"/>
          <w:highlight w:val="none"/>
        </w:rPr>
        <w:t>为预受理，视同下一</w:t>
      </w:r>
      <w:r>
        <w:rPr>
          <w:rFonts w:hint="eastAsia" w:ascii="楷体" w:hAnsi="楷体" w:eastAsia="楷体" w:cs="Calibri"/>
          <w:b w:val="0"/>
          <w:bCs/>
          <w:sz w:val="21"/>
          <w:szCs w:val="21"/>
          <w:highlight w:val="none"/>
          <w:lang w:val="en-US" w:eastAsia="zh-CN"/>
        </w:rPr>
        <w:t>开放</w:t>
      </w:r>
      <w:r>
        <w:rPr>
          <w:rFonts w:hint="eastAsia" w:ascii="楷体" w:hAnsi="楷体" w:eastAsia="楷体" w:cs="Calibri"/>
          <w:b w:val="0"/>
          <w:bCs/>
          <w:sz w:val="21"/>
          <w:szCs w:val="21"/>
          <w:highlight w:val="none"/>
        </w:rPr>
        <w:t>日</w:t>
      </w:r>
      <w:r>
        <w:rPr>
          <w:rFonts w:hint="eastAsia" w:ascii="楷体" w:hAnsi="楷体" w:eastAsia="楷体" w:cs="Calibri"/>
          <w:b w:val="0"/>
          <w:bCs/>
          <w:sz w:val="21"/>
          <w:szCs w:val="21"/>
          <w:highlight w:val="none"/>
          <w:lang w:val="en-US" w:eastAsia="zh-CN"/>
        </w:rPr>
        <w:t>申请。投资者</w:t>
      </w:r>
      <w:r>
        <w:rPr>
          <w:rFonts w:hint="eastAsia" w:ascii="楷体" w:hAnsi="楷体" w:eastAsia="楷体" w:cs="Calibri"/>
          <w:b w:val="0"/>
          <w:bCs/>
          <w:sz w:val="21"/>
          <w:szCs w:val="21"/>
          <w:highlight w:val="none"/>
        </w:rPr>
        <w:t>提交的申购/赎回申请可以在产品开放日</w:t>
      </w:r>
      <w:r>
        <w:rPr>
          <w:rFonts w:hint="eastAsia" w:ascii="楷体" w:hAnsi="楷体" w:eastAsia="楷体" w:cs="Calibri"/>
          <w:b w:val="0"/>
          <w:bCs/>
          <w:sz w:val="21"/>
          <w:szCs w:val="21"/>
          <w:highlight w:val="none"/>
          <w:lang w:val="en-US" w:eastAsia="zh-CN"/>
        </w:rPr>
        <w:t>闭市</w:t>
      </w:r>
      <w:r>
        <w:rPr>
          <w:rFonts w:hint="eastAsia" w:ascii="楷体" w:hAnsi="楷体" w:eastAsia="楷体" w:cs="Calibri"/>
          <w:b w:val="0"/>
          <w:bCs/>
          <w:sz w:val="21"/>
          <w:szCs w:val="21"/>
          <w:highlight w:val="none"/>
        </w:rPr>
        <w:t>前撤销，之后不得撤销。（</w:t>
      </w:r>
      <w:r>
        <w:rPr>
          <w:rFonts w:hint="eastAsia" w:ascii="楷体" w:hAnsi="楷体" w:eastAsia="楷体" w:cs="Calibri"/>
          <w:b w:val="0"/>
          <w:bCs/>
          <w:sz w:val="21"/>
          <w:szCs w:val="21"/>
          <w:highlight w:val="none"/>
          <w:lang w:val="en-US" w:eastAsia="zh-CN"/>
        </w:rPr>
        <w:t>开放日闭市时间为17:00，具体</w:t>
      </w:r>
      <w:r>
        <w:rPr>
          <w:rFonts w:hint="eastAsia" w:ascii="楷体" w:hAnsi="楷体" w:eastAsia="楷体" w:cs="Calibri"/>
          <w:b w:val="0"/>
          <w:bCs/>
          <w:sz w:val="21"/>
          <w:szCs w:val="21"/>
          <w:highlight w:val="none"/>
        </w:rPr>
        <w:t>以各销售机构设置为准）</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申购、赎回的规则</w:t>
      </w:r>
    </w:p>
    <w:p>
      <w:pPr>
        <w:keepNext w:val="0"/>
        <w:keepLines w:val="0"/>
        <w:pageBreakBefore w:val="0"/>
        <w:widowControl w:val="0"/>
        <w:numPr>
          <w:ilvl w:val="0"/>
          <w:numId w:val="11"/>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申购、赎回的原则：投资者必须在产品开放计划内提出申购、赎回申请</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rPr>
        <w:t>采用金额申购、份额赎回的原则，即申购以金额申请，赎回以份额申请。投资者提出申购申请时，须备足购买资金</w:t>
      </w:r>
      <w:r>
        <w:rPr>
          <w:rFonts w:hint="eastAsia" w:ascii="楷体" w:hAnsi="楷体" w:eastAsia="楷体" w:cs="Calibri"/>
          <w:b w:val="0"/>
          <w:bCs/>
          <w:sz w:val="21"/>
          <w:szCs w:val="21"/>
          <w:highlight w:val="none"/>
          <w:lang w:val="en-US" w:eastAsia="zh-CN"/>
        </w:rPr>
        <w:t>；</w:t>
      </w:r>
      <w:r>
        <w:rPr>
          <w:rFonts w:hint="eastAsia" w:ascii="楷体" w:hAnsi="楷体" w:eastAsia="楷体" w:cs="Calibri"/>
          <w:b w:val="0"/>
          <w:bCs/>
          <w:sz w:val="21"/>
          <w:szCs w:val="21"/>
          <w:highlight w:val="none"/>
        </w:rPr>
        <w:t>投资者提出赎回申请时，须有足够的理财产品份额余额。</w:t>
      </w:r>
    </w:p>
    <w:p>
      <w:pPr>
        <w:keepNext w:val="0"/>
        <w:keepLines w:val="0"/>
        <w:pageBreakBefore w:val="0"/>
        <w:widowControl w:val="0"/>
        <w:numPr>
          <w:ilvl w:val="0"/>
          <w:numId w:val="11"/>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申购、赎回的确认：投资者申购/赎回本产品时采用“未知价”原则，投资者在开放计划内通过销售机构提出的申购/赎回申请，管理人于</w:t>
      </w:r>
      <w:r>
        <w:rPr>
          <w:rFonts w:hint="eastAsia" w:ascii="楷体" w:hAnsi="楷体" w:eastAsia="楷体" w:cs="Calibri"/>
          <w:b w:val="0"/>
          <w:bCs/>
          <w:sz w:val="21"/>
          <w:szCs w:val="21"/>
          <w:highlight w:val="none"/>
          <w:lang w:val="en-US" w:eastAsia="zh-CN"/>
        </w:rPr>
        <w:t>T+1</w:t>
      </w:r>
      <w:bookmarkStart w:id="0" w:name="_GoBack"/>
      <w:bookmarkEnd w:id="0"/>
      <w:r>
        <w:rPr>
          <w:rFonts w:hint="eastAsia" w:ascii="楷体" w:hAnsi="楷体" w:eastAsia="楷体" w:cs="Calibri"/>
          <w:b w:val="0"/>
          <w:bCs/>
          <w:sz w:val="21"/>
          <w:szCs w:val="21"/>
          <w:highlight w:val="none"/>
        </w:rPr>
        <w:t>日按开放日单位净值对申购/赎回申请予以统一</w:t>
      </w:r>
      <w:r>
        <w:rPr>
          <w:rFonts w:hint="eastAsia" w:ascii="楷体" w:hAnsi="楷体" w:eastAsia="楷体" w:cs="Calibri"/>
          <w:sz w:val="21"/>
          <w:szCs w:val="21"/>
          <w:highlight w:val="none"/>
        </w:rPr>
        <w:t>确认。</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cs="Calibri"/>
          <w:b w:val="0"/>
          <w:bCs/>
          <w:sz w:val="21"/>
          <w:szCs w:val="21"/>
          <w:highlight w:val="none"/>
          <w:lang w:val="en-US" w:eastAsia="zh-CN"/>
        </w:rPr>
        <w:t>管理人在份额登记日对投资者的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申请登记成功后并收到投资者全额交付的款项，视为投资者的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申请生效。投资者应在</w:t>
      </w:r>
      <w:r>
        <w:rPr>
          <w:rFonts w:hint="eastAsia" w:ascii="楷体" w:hAnsi="楷体" w:eastAsia="楷体"/>
          <w:b w:val="0"/>
          <w:bCs/>
          <w:sz w:val="21"/>
          <w:szCs w:val="21"/>
          <w:highlight w:val="none"/>
        </w:rPr>
        <w:t>开放日后</w:t>
      </w:r>
      <w:r>
        <w:rPr>
          <w:rFonts w:hint="eastAsia" w:ascii="楷体" w:hAnsi="楷体" w:eastAsia="楷体" w:cs="Calibri"/>
          <w:b w:val="0"/>
          <w:bCs/>
          <w:sz w:val="21"/>
          <w:szCs w:val="21"/>
          <w:highlight w:val="none"/>
          <w:lang w:val="en-US" w:eastAsia="zh-CN"/>
        </w:rPr>
        <w:t>及时查询最终的成交情况以及</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的份额。</w:t>
      </w:r>
      <w:r>
        <w:rPr>
          <w:rFonts w:hint="eastAsia" w:ascii="楷体" w:hAnsi="楷体" w:eastAsia="楷体"/>
          <w:b w:val="0"/>
          <w:bCs/>
          <w:sz w:val="21"/>
          <w:szCs w:val="21"/>
          <w:highlight w:val="none"/>
        </w:rPr>
        <w:t>因投资者资金账户余额不足、司法冻结、不可抗力因素或其他不可归责于</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和销售机构的事由出现，造成申购</w:t>
      </w:r>
      <w:r>
        <w:rPr>
          <w:rFonts w:hint="eastAsia" w:ascii="楷体" w:hAnsi="楷体" w:eastAsia="楷体" w:cs="Calibri"/>
          <w:b w:val="0"/>
          <w:bCs/>
          <w:sz w:val="21"/>
          <w:szCs w:val="21"/>
          <w:highlight w:val="none"/>
          <w:lang w:val="en-US" w:eastAsia="zh-CN"/>
        </w:rPr>
        <w:t>申请</w:t>
      </w:r>
      <w:r>
        <w:rPr>
          <w:rFonts w:hint="eastAsia" w:ascii="楷体" w:hAnsi="楷体" w:eastAsia="楷体"/>
          <w:b w:val="0"/>
          <w:bCs/>
          <w:sz w:val="21"/>
          <w:szCs w:val="21"/>
          <w:highlight w:val="none"/>
        </w:rPr>
        <w:t>未被确认的，</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和销售机构不承担任何责任。</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b w:val="0"/>
          <w:bCs/>
          <w:sz w:val="21"/>
          <w:szCs w:val="21"/>
          <w:highlight w:val="none"/>
        </w:rPr>
        <w:t>投资者赎回资金将在确认日后</w:t>
      </w:r>
      <w:r>
        <w:rPr>
          <w:rFonts w:hint="eastAsia" w:ascii="楷体" w:hAnsi="楷体" w:eastAsia="楷体"/>
          <w:b w:val="0"/>
          <w:bCs/>
          <w:sz w:val="21"/>
          <w:szCs w:val="21"/>
          <w:highlight w:val="none"/>
          <w:lang w:val="en-US" w:eastAsia="zh-CN"/>
        </w:rPr>
        <w:t>4</w:t>
      </w:r>
      <w:r>
        <w:rPr>
          <w:rFonts w:hint="eastAsia" w:ascii="楷体" w:hAnsi="楷体" w:eastAsia="楷体"/>
          <w:b w:val="0"/>
          <w:bCs/>
          <w:sz w:val="21"/>
          <w:szCs w:val="21"/>
          <w:highlight w:val="none"/>
        </w:rPr>
        <w:t>个工作日内到达投资者资金账户。</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申购份额=申购金额/开放日产品单位净值</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申购份额以四舍五入的方法保留到小数点后两位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赎回金额的计算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赎回金额=赎回份额*开放日产品单位净值</w:t>
      </w:r>
      <w:r>
        <w:rPr>
          <w:rFonts w:hint="eastAsia" w:ascii="楷体" w:hAnsi="楷体" w:eastAsia="楷体"/>
          <w:sz w:val="21"/>
          <w:szCs w:val="21"/>
          <w:highlight w:val="none"/>
          <w:lang w:val="en-US" w:eastAsia="zh-CN"/>
        </w:rPr>
        <w:t>-超额业绩报酬（如有）</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赎回金额以四舍五入的方法保留到小数点后两位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巨额赎回：详见“产品要素”。</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特殊情形及处理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1.</w:t>
      </w:r>
      <w:r>
        <w:rPr>
          <w:rFonts w:hint="eastAsia" w:ascii="楷体" w:hAnsi="楷体" w:eastAsia="楷体"/>
          <w:b w:val="0"/>
          <w:bCs w:val="0"/>
          <w:sz w:val="21"/>
          <w:szCs w:val="21"/>
          <w:highlight w:val="none"/>
        </w:rPr>
        <w:t>除以下情形外，管理人不得拒绝接受或暂停接受投资者的申购申请：</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（1）不可抗力的原因导致产品无法正常运作</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（2）超出产品单一投资者持有上限</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3</w:t>
      </w:r>
      <w:r>
        <w:rPr>
          <w:rFonts w:hint="eastAsia" w:ascii="楷体" w:hAnsi="楷体" w:eastAsia="楷体" w:cs="Calibri"/>
          <w:sz w:val="21"/>
          <w:szCs w:val="21"/>
          <w:highlight w:val="none"/>
        </w:rPr>
        <w:t>）发生《理财产品说明书》约定的暂停估值的情形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4</w:t>
      </w:r>
      <w:r>
        <w:rPr>
          <w:rFonts w:hint="eastAsia" w:ascii="楷体" w:hAnsi="楷体" w:eastAsia="楷体" w:cs="Calibri"/>
          <w:sz w:val="21"/>
          <w:szCs w:val="21"/>
          <w:highlight w:val="none"/>
        </w:rPr>
        <w:t>）管理人接受某笔或者某些申购申请有可能导致单一投资者持有理财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份额的比例达到或者超过50%的情形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）当接受某笔或某些申购申请可能对存量理财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2.</w:t>
      </w:r>
      <w:r>
        <w:rPr>
          <w:rFonts w:hint="eastAsia" w:ascii="楷体" w:hAnsi="楷体" w:eastAsia="楷体"/>
          <w:b w:val="0"/>
          <w:bCs w:val="0"/>
          <w:sz w:val="21"/>
          <w:szCs w:val="21"/>
          <w:highlight w:val="none"/>
        </w:rPr>
        <w:t>除以下情形外，管理人不得暂停接受投资者的赎回申请或延缓支付赎回款项：</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（1）不可抗力的原因导致管理人不能支付赎回款项</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（2）触发巨额赎回条款</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（3）发生《理财产品说明书》约定的暂停估值的情形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（4）当接受某笔或某些赎回申请可能对存量理财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w:t>
      </w:r>
      <w:r>
        <w:rPr>
          <w:rFonts w:hint="eastAsia" w:ascii="楷体" w:hAnsi="楷体" w:eastAsia="楷体"/>
          <w:sz w:val="21"/>
          <w:szCs w:val="21"/>
          <w:highlight w:val="none"/>
        </w:rPr>
        <w:t>暂停接受投资者的赎回申请或延缓支付赎回款项</w:t>
      </w:r>
      <w:r>
        <w:rPr>
          <w:rFonts w:hint="eastAsia" w:ascii="楷体" w:hAnsi="楷体" w:eastAsia="楷体" w:cs="Calibri"/>
          <w:sz w:val="21"/>
          <w:szCs w:val="21"/>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1"/>
          <w:szCs w:val="21"/>
          <w:highlight w:val="none"/>
        </w:rPr>
        <w:t>暂停接受投资者的赎回申请或延缓支付赎回款项的情况消除后</w:t>
      </w:r>
      <w:r>
        <w:rPr>
          <w:rFonts w:hint="eastAsia" w:ascii="楷体" w:hAnsi="楷体" w:eastAsia="楷体" w:cs="Calibri"/>
          <w:sz w:val="21"/>
          <w:szCs w:val="21"/>
          <w:highlight w:val="none"/>
        </w:rPr>
        <w:t>，管理人将及时恢复</w:t>
      </w:r>
      <w:r>
        <w:rPr>
          <w:rFonts w:hint="eastAsia" w:ascii="楷体" w:hAnsi="楷体" w:eastAsia="楷体" w:cs="Calibri"/>
          <w:sz w:val="21"/>
          <w:szCs w:val="21"/>
          <w:highlight w:val="none"/>
          <w:lang w:val="en-US" w:eastAsia="zh-CN"/>
        </w:rPr>
        <w:t>赎回</w:t>
      </w:r>
      <w:r>
        <w:rPr>
          <w:rFonts w:hint="eastAsia" w:ascii="楷体" w:hAnsi="楷体" w:eastAsia="楷体" w:cs="Calibri"/>
          <w:sz w:val="21"/>
          <w:szCs w:val="21"/>
          <w:highlight w:val="none"/>
        </w:rPr>
        <w:t>业务的办理。</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产品终止</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highlight w:val="none"/>
        </w:rPr>
      </w:pPr>
      <w:r>
        <w:rPr>
          <w:rFonts w:hint="eastAsia" w:ascii="楷体" w:hAnsi="楷体" w:eastAsia="楷体" w:cs="楷体"/>
          <w:b w:val="0"/>
          <w:bCs w:val="0"/>
          <w:color w:val="auto"/>
          <w:sz w:val="21"/>
          <w:szCs w:val="21"/>
          <w:highlight w:val="none"/>
        </w:rPr>
        <w:t>提前终止</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cs="Calibri"/>
          <w:b w:val="0"/>
          <w:bCs w:val="0"/>
          <w:color w:val="auto"/>
          <w:sz w:val="21"/>
          <w:szCs w:val="21"/>
          <w:highlight w:val="none"/>
        </w:rPr>
        <w:t>在理财产品投资运作期间内，投资者无权要求提前终止该理财产品。在理财产品投资运作期间内，</w:t>
      </w:r>
      <w:r>
        <w:rPr>
          <w:rFonts w:hint="eastAsia" w:ascii="楷体" w:hAnsi="楷体" w:eastAsia="楷体" w:cs="Calibri"/>
          <w:b w:val="0"/>
          <w:bCs w:val="0"/>
          <w:color w:val="auto"/>
          <w:sz w:val="21"/>
          <w:szCs w:val="21"/>
          <w:highlight w:val="none"/>
          <w:lang w:val="en-US" w:eastAsia="zh-CN"/>
        </w:rPr>
        <w:t>包括但不限于</w:t>
      </w:r>
      <w:r>
        <w:rPr>
          <w:rFonts w:hint="eastAsia" w:ascii="楷体" w:hAnsi="楷体" w:eastAsia="楷体" w:cs="Calibri"/>
          <w:b w:val="0"/>
          <w:bCs w:val="0"/>
          <w:color w:val="auto"/>
          <w:sz w:val="21"/>
          <w:szCs w:val="21"/>
          <w:highlight w:val="none"/>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highlight w:val="none"/>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明确产品终止日</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投资者持有本理财产品至产品到期日，投资者的投资本金和收益（如有）将在产品到期后一次性支付。</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延期</w:t>
      </w:r>
      <w:r>
        <w:rPr>
          <w:rFonts w:hint="eastAsia" w:ascii="楷体" w:hAnsi="楷体" w:eastAsia="楷体" w:cs="Calibri"/>
          <w:b w:val="0"/>
          <w:bCs w:val="0"/>
          <w:color w:val="auto"/>
          <w:sz w:val="21"/>
          <w:szCs w:val="21"/>
          <w:highlight w:val="none"/>
          <w:lang w:val="en-US" w:eastAsia="zh-CN"/>
        </w:rPr>
        <w:t>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投资者可得资金=投资者持有份额×产品到期</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终止）</w:t>
      </w:r>
      <w:r>
        <w:rPr>
          <w:rFonts w:hint="eastAsia" w:ascii="楷体" w:hAnsi="楷体" w:eastAsia="楷体"/>
          <w:b w:val="0"/>
          <w:bCs w:val="0"/>
          <w:color w:val="auto"/>
          <w:sz w:val="21"/>
          <w:szCs w:val="21"/>
          <w:highlight w:val="none"/>
        </w:rPr>
        <w:t>时单位净值</w:t>
      </w:r>
      <w:r>
        <w:rPr>
          <w:rFonts w:hint="eastAsia" w:ascii="楷体" w:hAnsi="楷体" w:eastAsia="楷体"/>
          <w:b w:val="0"/>
          <w:bCs w:val="0"/>
          <w:color w:val="auto"/>
          <w:sz w:val="21"/>
          <w:szCs w:val="21"/>
          <w:highlight w:val="none"/>
          <w:lang w:val="en-US" w:eastAsia="zh-CN"/>
        </w:rPr>
        <w:t>-超额业绩报酬（如有）</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rPr>
        <w:t>投资者可得资金以四舍五入的方法保留到小数点后两位。</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终止</w:t>
      </w:r>
      <w:r>
        <w:rPr>
          <w:rFonts w:hint="eastAsia" w:ascii="楷体" w:hAnsi="楷体" w:eastAsia="楷体" w:cs="Calibri"/>
          <w:b w:val="0"/>
          <w:bCs w:val="0"/>
          <w:color w:val="auto"/>
          <w:sz w:val="21"/>
          <w:szCs w:val="21"/>
          <w:highlight w:val="none"/>
        </w:rPr>
        <w:t>清算</w:t>
      </w:r>
    </w:p>
    <w:p>
      <w:pPr>
        <w:keepNext w:val="0"/>
        <w:keepLines w:val="0"/>
        <w:pageBreakBefore w:val="0"/>
        <w:widowControl w:val="0"/>
        <w:numPr>
          <w:ilvl w:val="0"/>
          <w:numId w:val="0"/>
        </w:numPr>
        <w:tabs>
          <w:tab w:val="left" w:pos="1092"/>
        </w:tabs>
        <w:wordWrap/>
        <w:topLinePunct w:val="0"/>
        <w:autoSpaceDE/>
        <w:autoSpaceDN/>
        <w:bidi w:val="0"/>
        <w:ind w:firstLine="420" w:firstLineChars="200"/>
        <w:jc w:val="both"/>
        <w:textAlignment w:val="auto"/>
        <w:rPr>
          <w:rFonts w:hint="eastAsia" w:ascii="楷体" w:hAnsi="楷体" w:eastAsia="楷体" w:cs="Calibri"/>
          <w:sz w:val="24"/>
          <w:szCs w:val="24"/>
          <w:highlight w:val="none"/>
        </w:rPr>
      </w:pPr>
      <w:r>
        <w:rPr>
          <w:rFonts w:hint="eastAsia" w:ascii="楷体" w:hAnsi="楷体" w:eastAsia="楷体" w:cs="Calibri"/>
          <w:color w:val="auto"/>
          <w:sz w:val="21"/>
          <w:szCs w:val="21"/>
          <w:highlight w:val="none"/>
        </w:rPr>
        <w:t>投资者的投资本金和收益（如有）将于产品到期日</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产品终止日）</w:t>
      </w:r>
      <w:r>
        <w:rPr>
          <w:rFonts w:hint="eastAsia" w:ascii="楷体" w:hAnsi="楷体" w:eastAsia="楷体" w:cs="Calibri"/>
          <w:color w:val="auto"/>
          <w:sz w:val="21"/>
          <w:szCs w:val="21"/>
          <w:highlight w:val="none"/>
        </w:rPr>
        <w:t>后5个工作日以内划至投资者指定账户，如遇</w:t>
      </w:r>
      <w:r>
        <w:rPr>
          <w:rFonts w:hint="eastAsia" w:ascii="楷体" w:hAnsi="楷体" w:eastAsia="楷体" w:cs="Calibri"/>
          <w:color w:val="auto"/>
          <w:sz w:val="21"/>
          <w:szCs w:val="21"/>
          <w:highlight w:val="none"/>
          <w:lang w:val="en-US" w:eastAsia="zh-CN"/>
        </w:rPr>
        <w:t>非工作日</w:t>
      </w:r>
      <w:r>
        <w:rPr>
          <w:rFonts w:hint="eastAsia" w:ascii="楷体" w:hAnsi="楷体" w:eastAsia="楷体" w:cs="Calibri"/>
          <w:color w:val="auto"/>
          <w:sz w:val="21"/>
          <w:szCs w:val="21"/>
          <w:highlight w:val="none"/>
        </w:rPr>
        <w:t>则相应顺延。</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lang w:val="en-US" w:eastAsia="zh-CN"/>
        </w:rPr>
      </w:pPr>
      <w:r>
        <w:rPr>
          <w:rFonts w:hint="eastAsia" w:ascii="楷体" w:hAnsi="楷体" w:eastAsia="楷体" w:cs="Times New Roman"/>
          <w:b/>
          <w:sz w:val="21"/>
          <w:szCs w:val="21"/>
          <w:highlight w:val="none"/>
          <w:lang w:val="en-US" w:eastAsia="zh-CN"/>
        </w:rPr>
        <w:t>情景示例</w:t>
      </w:r>
    </w:p>
    <w:p>
      <w:pPr>
        <w:keepNext w:val="0"/>
        <w:keepLines w:val="0"/>
        <w:pageBreakBefore w:val="0"/>
        <w:tabs>
          <w:tab w:val="left" w:pos="993"/>
        </w:tabs>
        <w:wordWrap/>
        <w:topLinePunct w:val="0"/>
        <w:autoSpaceDE/>
        <w:autoSpaceDN/>
        <w:bidi w:val="0"/>
        <w:ind w:left="480"/>
        <w:textAlignment w:val="auto"/>
        <w:rPr>
          <w:rFonts w:hint="eastAsia" w:ascii="楷体" w:hAnsi="楷体" w:eastAsia="楷体" w:cs="Calibri"/>
          <w:b/>
          <w:sz w:val="21"/>
          <w:szCs w:val="21"/>
          <w:highlight w:val="none"/>
          <w:u w:val="single"/>
        </w:rPr>
      </w:pPr>
      <w:r>
        <w:rPr>
          <w:rFonts w:hint="eastAsia" w:ascii="楷体" w:hAnsi="楷体" w:eastAsia="楷体" w:cs="Calibri"/>
          <w:b/>
          <w:sz w:val="21"/>
          <w:szCs w:val="21"/>
          <w:highlight w:val="none"/>
          <w:u w:val="single"/>
        </w:rPr>
        <w:t>以下示例均为假设情况，不代表本产品实际投资业绩。</w:t>
      </w:r>
    </w:p>
    <w:p>
      <w:pPr>
        <w:keepNext w:val="0"/>
        <w:keepLines w:val="0"/>
        <w:pageBreakBefore w:val="0"/>
        <w:widowControl w:val="0"/>
        <w:numPr>
          <w:ilvl w:val="0"/>
          <w:numId w:val="13"/>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情景一</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val="en-US" w:eastAsia="zh-CN"/>
        </w:rPr>
      </w:pPr>
      <w:r>
        <w:rPr>
          <w:rFonts w:ascii="楷体" w:hAnsi="楷体" w:eastAsia="楷体"/>
          <w:sz w:val="21"/>
          <w:szCs w:val="21"/>
          <w:highlight w:val="none"/>
        </w:rPr>
        <w:t>假定投资者</w:t>
      </w:r>
      <w:r>
        <w:rPr>
          <w:rFonts w:hint="eastAsia" w:ascii="楷体" w:hAnsi="楷体" w:eastAsia="楷体"/>
          <w:sz w:val="21"/>
          <w:szCs w:val="21"/>
          <w:highlight w:val="none"/>
        </w:rPr>
        <w:t>申购1</w:t>
      </w:r>
      <w:r>
        <w:rPr>
          <w:rFonts w:ascii="楷体" w:hAnsi="楷体" w:eastAsia="楷体"/>
          <w:sz w:val="21"/>
          <w:szCs w:val="21"/>
          <w:highlight w:val="none"/>
        </w:rPr>
        <w:t>0000元</w:t>
      </w:r>
      <w:r>
        <w:rPr>
          <w:rFonts w:hint="eastAsia" w:ascii="楷体" w:hAnsi="楷体" w:eastAsia="楷体"/>
          <w:sz w:val="21"/>
          <w:szCs w:val="21"/>
          <w:highlight w:val="none"/>
          <w:lang w:val="en-US" w:eastAsia="zh-CN"/>
        </w:rPr>
        <w:t>本产品</w:t>
      </w:r>
      <w:r>
        <w:rPr>
          <w:rFonts w:ascii="楷体" w:hAnsi="楷体" w:eastAsia="楷体"/>
          <w:sz w:val="21"/>
          <w:szCs w:val="21"/>
          <w:highlight w:val="none"/>
        </w:rPr>
        <w:t>，</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w:t>
      </w:r>
      <w:r>
        <w:rPr>
          <w:rFonts w:ascii="楷体" w:hAnsi="楷体" w:eastAsia="楷体"/>
          <w:sz w:val="21"/>
          <w:szCs w:val="21"/>
          <w:highlight w:val="none"/>
        </w:rPr>
        <w:t>为1.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产品单位净值为1.090221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w:t>
      </w:r>
      <w:r>
        <w:rPr>
          <w:rFonts w:ascii="楷体" w:hAnsi="楷体" w:eastAsia="楷体"/>
          <w:sz w:val="21"/>
          <w:szCs w:val="21"/>
          <w:highlight w:val="none"/>
        </w:rPr>
        <w:t>×</w:t>
      </w:r>
      <w:r>
        <w:rPr>
          <w:rFonts w:hint="eastAsia" w:ascii="楷体" w:hAnsi="楷体" w:eastAsia="楷体"/>
          <w:sz w:val="21"/>
          <w:szCs w:val="21"/>
          <w:highlight w:val="none"/>
        </w:rPr>
        <w:t>1.090221=10091.52元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w:t>
      </w:r>
      <w:r>
        <w:rPr>
          <w:rFonts w:ascii="楷体" w:hAnsi="楷体" w:eastAsia="楷体"/>
          <w:sz w:val="21"/>
          <w:szCs w:val="21"/>
          <w:highlight w:val="none"/>
        </w:rPr>
        <w:t>投资收益金额=</w:t>
      </w:r>
      <w:r>
        <w:rPr>
          <w:rFonts w:hint="eastAsia" w:ascii="楷体" w:hAnsi="楷体" w:eastAsia="楷体"/>
          <w:sz w:val="21"/>
          <w:szCs w:val="21"/>
          <w:highlight w:val="none"/>
        </w:rPr>
        <w:t>10091.52</w:t>
      </w:r>
      <w:r>
        <w:rPr>
          <w:rFonts w:ascii="楷体" w:hAnsi="楷体" w:eastAsia="楷体"/>
          <w:sz w:val="21"/>
          <w:szCs w:val="21"/>
          <w:highlight w:val="none"/>
        </w:rPr>
        <w:t>-</w:t>
      </w:r>
      <w:r>
        <w:rPr>
          <w:rFonts w:hint="eastAsia" w:ascii="楷体" w:hAnsi="楷体" w:eastAsia="楷体"/>
          <w:sz w:val="21"/>
          <w:szCs w:val="21"/>
          <w:highlight w:val="none"/>
        </w:rPr>
        <w:t>10000=91.52元</w:t>
      </w:r>
    </w:p>
    <w:p>
      <w:pPr>
        <w:keepNext w:val="0"/>
        <w:keepLines w:val="0"/>
        <w:pageBreakBefore w:val="0"/>
        <w:widowControl w:val="0"/>
        <w:numPr>
          <w:ilvl w:val="0"/>
          <w:numId w:val="13"/>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情景二</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rPr>
        <w:t>假定投资者申购10000元</w:t>
      </w:r>
      <w:r>
        <w:rPr>
          <w:rFonts w:hint="eastAsia" w:ascii="楷体" w:hAnsi="楷体" w:eastAsia="楷体"/>
          <w:sz w:val="21"/>
          <w:szCs w:val="21"/>
          <w:highlight w:val="none"/>
          <w:lang w:val="en-US" w:eastAsia="zh-CN"/>
        </w:rPr>
        <w:t>本产品</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产品单位净值为1.080334，投资者申购确认份额为9256.40份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产品单位净值为1.074231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投资者赎回兑付金额=9256.40×1.074231=9943.51元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投资者投资收益金额=9943.51-10000=-56.49元</w:t>
      </w:r>
    </w:p>
    <w:p>
      <w:pPr>
        <w:keepNext w:val="0"/>
        <w:keepLines w:val="0"/>
        <w:pageBreakBefore w:val="0"/>
        <w:wordWrap/>
        <w:topLinePunct w:val="0"/>
        <w:autoSpaceDE/>
        <w:autoSpaceDN/>
        <w:bidi w:val="0"/>
        <w:ind w:firstLine="369" w:firstLineChars="176"/>
        <w:textAlignment w:val="auto"/>
        <w:rPr>
          <w:rFonts w:hint="eastAsia" w:ascii="楷体" w:hAnsi="楷体" w:eastAsia="楷体" w:cs="Calibri"/>
          <w:sz w:val="21"/>
          <w:szCs w:val="21"/>
          <w:highlight w:val="none"/>
        </w:rPr>
      </w:pPr>
      <w:r>
        <w:rPr>
          <w:rFonts w:hint="eastAsia" w:ascii="楷体" w:hAnsi="楷体" w:eastAsia="楷体"/>
          <w:sz w:val="21"/>
          <w:szCs w:val="21"/>
          <w:highlight w:val="none"/>
        </w:rPr>
        <w:t>投资者投资本理财产品实际亏损56.49元，</w:t>
      </w:r>
      <w:r>
        <w:rPr>
          <w:rFonts w:hint="eastAsia" w:ascii="楷体" w:hAnsi="楷体" w:eastAsia="楷体"/>
          <w:b/>
          <w:sz w:val="21"/>
          <w:szCs w:val="21"/>
          <w:highlight w:val="none"/>
          <w:u w:val="single"/>
        </w:rPr>
        <w:t>最不利的情形下，投资者可能损失100%本金。</w:t>
      </w:r>
    </w:p>
    <w:p>
      <w:pPr>
        <w:keepNext w:val="0"/>
        <w:keepLines w:val="0"/>
        <w:pageBreakBefore w:val="0"/>
        <w:wordWrap/>
        <w:topLinePunct w:val="0"/>
        <w:autoSpaceDE/>
        <w:autoSpaceDN/>
        <w:bidi w:val="0"/>
        <w:ind w:firstLine="373" w:firstLineChars="177"/>
        <w:textAlignment w:val="auto"/>
        <w:rPr>
          <w:rFonts w:hint="eastAsia" w:ascii="楷体" w:hAnsi="楷体" w:eastAsia="楷体"/>
          <w:sz w:val="21"/>
          <w:szCs w:val="21"/>
          <w:highlight w:val="none"/>
        </w:rPr>
      </w:pPr>
      <w:r>
        <w:rPr>
          <w:rFonts w:hint="eastAsia" w:ascii="楷体" w:hAnsi="楷体" w:eastAsia="楷体"/>
          <w:b/>
          <w:sz w:val="21"/>
          <w:szCs w:val="21"/>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产品费用</w:t>
      </w:r>
    </w:p>
    <w:p>
      <w:pPr>
        <w:keepNext w:val="0"/>
        <w:keepLines w:val="0"/>
        <w:pageBreakBefore w:val="0"/>
        <w:numPr>
          <w:ilvl w:val="0"/>
          <w:numId w:val="0"/>
        </w:numPr>
        <w:wordWrap/>
        <w:topLinePunct w:val="0"/>
        <w:autoSpaceDE/>
        <w:autoSpaceDN/>
        <w:bidi w:val="0"/>
        <w:ind w:left="0" w:firstLine="420" w:firstLineChars="200"/>
        <w:textAlignment w:val="auto"/>
        <w:rPr>
          <w:rFonts w:hint="default" w:ascii="楷体" w:hAnsi="楷体" w:eastAsia="楷体" w:cs="Calibri"/>
          <w:color w:val="auto"/>
          <w:sz w:val="21"/>
          <w:szCs w:val="21"/>
          <w:highlight w:val="none"/>
        </w:rPr>
      </w:pPr>
      <w:r>
        <w:rPr>
          <w:rFonts w:hint="eastAsia" w:ascii="楷体" w:hAnsi="楷体" w:eastAsia="楷体"/>
          <w:color w:val="auto"/>
          <w:sz w:val="21"/>
          <w:szCs w:val="21"/>
          <w:highlight w:val="none"/>
        </w:rPr>
        <w:t>本产品费用包括托管费、销售服务费、投资管理费、超额业绩报酬（如有）以及产品运作和清算中产生的其他费用等。</w:t>
      </w:r>
      <w:r>
        <w:rPr>
          <w:rFonts w:hint="eastAsia" w:ascii="楷体" w:hAnsi="楷体" w:eastAsia="楷体" w:cs="Calibri"/>
          <w:color w:val="auto"/>
          <w:sz w:val="21"/>
          <w:szCs w:val="21"/>
          <w:highlight w:val="none"/>
        </w:rPr>
        <w:t>计提方法</w:t>
      </w:r>
      <w:r>
        <w:rPr>
          <w:rFonts w:hint="eastAsia" w:ascii="楷体" w:hAnsi="楷体" w:eastAsia="楷体" w:cs="Calibri"/>
          <w:color w:val="auto"/>
          <w:sz w:val="21"/>
          <w:szCs w:val="21"/>
          <w:highlight w:val="none"/>
          <w:lang w:val="en-US" w:eastAsia="zh-CN"/>
        </w:rPr>
        <w:t>如下:</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r>
        <w:rPr>
          <w:rFonts w:hint="eastAsia" w:ascii="楷体" w:hAnsi="楷体" w:eastAsia="楷体" w:cs="Calibri"/>
          <w:color w:val="auto"/>
          <w:sz w:val="21"/>
          <w:szCs w:val="21"/>
          <w:highlight w:val="none"/>
          <w:lang w:eastAsia="zh-CN"/>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w:t>
      </w:r>
      <w:r>
        <w:rPr>
          <w:rFonts w:hint="eastAsia" w:ascii="楷体" w:hAnsi="楷体" w:eastAsia="楷体" w:cs="Calibri"/>
          <w:color w:val="auto"/>
          <w:sz w:val="21"/>
          <w:szCs w:val="21"/>
          <w:highlight w:val="none"/>
          <w:lang w:val="en-US" w:eastAsia="zh-CN"/>
        </w:rPr>
        <w:t>详见“产品要素”。</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本产品不收取认购费用、申购费用、赎回费用。</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lang w:val="en-US" w:eastAsia="zh-CN"/>
        </w:rPr>
        <w:t>费用计算</w:t>
      </w:r>
      <w:r>
        <w:rPr>
          <w:rFonts w:hint="eastAsia" w:ascii="楷体" w:hAnsi="楷体" w:eastAsia="楷体" w:cs="楷体"/>
          <w:color w:val="auto"/>
          <w:sz w:val="21"/>
          <w:szCs w:val="21"/>
          <w:highlight w:val="none"/>
        </w:rPr>
        <w:t>四舍五入保留至小数点后两位</w:t>
      </w:r>
      <w:r>
        <w:rPr>
          <w:rFonts w:hint="eastAsia" w:ascii="楷体" w:hAnsi="楷体" w:eastAsia="楷体" w:cs="楷体"/>
          <w:color w:val="auto"/>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highlight w:val="none"/>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产品估值</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估值对象</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本产品所拥有的各类证券、银行存款、应收款项及其它资产及负债。</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估值要求</w:t>
      </w:r>
    </w:p>
    <w:p>
      <w:pPr>
        <w:keepNext w:val="0"/>
        <w:keepLines w:val="0"/>
        <w:pageBreakBefore w:val="0"/>
        <w:widowControl w:val="0"/>
        <w:numPr>
          <w:ilvl w:val="0"/>
          <w:numId w:val="16"/>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本产品资产估值的目的是客观、准确</w:t>
      </w:r>
      <w:r>
        <w:rPr>
          <w:rFonts w:hint="eastAsia" w:ascii="楷体" w:hAnsi="楷体" w:eastAsia="楷体" w:cs="Calibri"/>
          <w:b w:val="0"/>
          <w:bCs w:val="0"/>
          <w:color w:val="auto"/>
          <w:sz w:val="21"/>
          <w:szCs w:val="21"/>
          <w:highlight w:val="none"/>
          <w:lang w:val="en-US" w:eastAsia="zh-CN"/>
        </w:rPr>
        <w:t>地</w:t>
      </w:r>
      <w:r>
        <w:rPr>
          <w:rFonts w:hint="eastAsia" w:ascii="楷体" w:hAnsi="楷体" w:eastAsia="楷体" w:cs="Calibri"/>
          <w:b w:val="0"/>
          <w:bCs w:val="0"/>
          <w:color w:val="auto"/>
          <w:sz w:val="21"/>
          <w:szCs w:val="21"/>
          <w:highlight w:val="none"/>
        </w:rPr>
        <w:t>反映资产净值，确定理财产品资产净值，并为理财产品的兑付提供计价依据。</w:t>
      </w:r>
    </w:p>
    <w:p>
      <w:pPr>
        <w:keepNext w:val="0"/>
        <w:keepLines w:val="0"/>
        <w:pageBreakBefore w:val="0"/>
        <w:widowControl w:val="0"/>
        <w:numPr>
          <w:ilvl w:val="0"/>
          <w:numId w:val="16"/>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本产品单位净值精确到小数点后</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位，小数点</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位后截位。</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估值方法</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1.存款类资产、货币市场工具：以本金列示，逐日计提利息。</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2.货币市场基金：以估值截止时间点能够取得的最新每万份收益进行估值。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3.债券类资产：按公允价值进行估值，采用市价、第三方估值机构提供的估值价格、合理的估值技术或监管机构认可的其他估值方法进行估值。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4.权益类资产：按公允价值进行估值，采用市价、第三方估值机构提供的估值价格、合理的估值技术或监管机构认可的其他估值方法进行估值。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5.证券、基金、保险等资产管理计划和信托计划等资产（不含货币市场基金）：按照证券、基金、保险等资产管理计划和信托计划的管理人和托管人共同确认的最新净值或投资收益进行估值。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6.其他资产：按公允价值进行估值，采用合理的估值技术或监管机构认可的估值方法进行估值。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如有新增事项或变更事项，按国家最新规定或管理人最新约定进行估值。</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估值错误的处理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暂停估值</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b w:val="0"/>
          <w:bCs w:val="0"/>
          <w:color w:val="auto"/>
          <w:sz w:val="21"/>
          <w:szCs w:val="21"/>
          <w:highlight w:val="none"/>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信息披露</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方式</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通过苏银理财有限责任公司官方网站（</w:t>
      </w:r>
      <w:r>
        <w:rPr>
          <w:rFonts w:ascii="楷体" w:hAnsi="楷体" w:eastAsia="楷体" w:cs="Calibri"/>
          <w:b w:val="0"/>
          <w:bCs w:val="0"/>
          <w:sz w:val="21"/>
          <w:szCs w:val="21"/>
          <w:highlight w:val="none"/>
        </w:rPr>
        <w:t>www</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suyinwealth</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com</w:t>
      </w:r>
      <w:r>
        <w:rPr>
          <w:rFonts w:hint="eastAsia" w:ascii="楷体" w:hAnsi="楷体" w:eastAsia="楷体" w:cs="Calibri"/>
          <w:b w:val="0"/>
          <w:bCs w:val="0"/>
          <w:sz w:val="21"/>
          <w:szCs w:val="21"/>
          <w:highlight w:val="none"/>
        </w:rPr>
        <w:t>）进行信息披露。</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将信息披露内容发送销售机构，由销售机构通过</w:t>
      </w:r>
      <w:r>
        <w:rPr>
          <w:rFonts w:hint="eastAsia" w:ascii="楷体" w:hAnsi="楷体" w:eastAsia="楷体" w:cs="Calibri"/>
          <w:b w:val="0"/>
          <w:bCs w:val="0"/>
          <w:sz w:val="21"/>
          <w:szCs w:val="21"/>
          <w:highlight w:val="none"/>
          <w:lang w:val="en-US" w:eastAsia="zh-CN"/>
        </w:rPr>
        <w:t>短信及</w:t>
      </w:r>
      <w:r>
        <w:rPr>
          <w:rFonts w:hint="eastAsia" w:ascii="楷体" w:hAnsi="楷体" w:eastAsia="楷体" w:cs="Calibri"/>
          <w:b w:val="0"/>
          <w:bCs w:val="0"/>
          <w:sz w:val="21"/>
          <w:szCs w:val="21"/>
          <w:highlight w:val="none"/>
        </w:rPr>
        <w:t>销售机构电子渠道和营业网点</w:t>
      </w:r>
      <w:r>
        <w:rPr>
          <w:rFonts w:hint="eastAsia" w:ascii="楷体" w:hAnsi="楷体" w:eastAsia="楷体" w:cs="Calibri"/>
          <w:b w:val="0"/>
          <w:bCs w:val="0"/>
          <w:sz w:val="21"/>
          <w:szCs w:val="21"/>
          <w:highlight w:val="none"/>
          <w:lang w:val="en-US" w:eastAsia="zh-CN"/>
        </w:rPr>
        <w:t>等方式</w:t>
      </w:r>
      <w:r>
        <w:rPr>
          <w:rFonts w:hint="eastAsia" w:ascii="楷体" w:hAnsi="楷体" w:eastAsia="楷体" w:cs="Calibri"/>
          <w:b w:val="0"/>
          <w:bCs w:val="0"/>
          <w:sz w:val="21"/>
          <w:szCs w:val="21"/>
          <w:highlight w:val="none"/>
        </w:rPr>
        <w:t>进行信息披露。</w:t>
      </w:r>
    </w:p>
    <w:p>
      <w:pPr>
        <w:keepNext w:val="0"/>
        <w:keepLines w:val="0"/>
        <w:pageBreakBefore w:val="0"/>
        <w:numPr>
          <w:ilvl w:val="0"/>
          <w:numId w:val="0"/>
        </w:numPr>
        <w:wordWrap/>
        <w:topLinePunct w:val="0"/>
        <w:autoSpaceDE/>
        <w:autoSpaceDN/>
        <w:bidi w:val="0"/>
        <w:ind w:left="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b w:val="0"/>
          <w:bCs w:val="0"/>
          <w:sz w:val="21"/>
          <w:szCs w:val="21"/>
          <w:highlight w:val="none"/>
        </w:rPr>
        <w:t>相关信息在发布或发出之日视为通知已送达投资者并生效，</w:t>
      </w:r>
      <w:r>
        <w:rPr>
          <w:rFonts w:hint="eastAsia" w:ascii="楷体" w:hAnsi="楷体" w:eastAsia="楷体"/>
          <w:b w:val="0"/>
          <w:bCs w:val="0"/>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b w:val="0"/>
          <w:bCs w:val="0"/>
          <w:sz w:val="21"/>
          <w:szCs w:val="21"/>
          <w:highlight w:val="none"/>
        </w:rPr>
        <w:t>请</w:t>
      </w:r>
      <w:r>
        <w:rPr>
          <w:rFonts w:hint="eastAsia" w:ascii="楷体" w:hAnsi="楷体" w:eastAsia="楷体"/>
          <w:b w:val="0"/>
          <w:bCs w:val="0"/>
          <w:sz w:val="21"/>
          <w:szCs w:val="21"/>
          <w:highlight w:val="none"/>
          <w:lang w:val="en-US" w:eastAsia="zh-CN"/>
        </w:rPr>
        <w:t>投资者</w:t>
      </w:r>
      <w:r>
        <w:rPr>
          <w:rFonts w:hint="eastAsia" w:ascii="楷体" w:hAnsi="楷体" w:eastAsia="楷体"/>
          <w:b w:val="0"/>
          <w:bCs w:val="0"/>
          <w:sz w:val="21"/>
          <w:szCs w:val="21"/>
          <w:highlight w:val="none"/>
        </w:rPr>
        <w:t>及时登陆苏银理财有限责任</w:t>
      </w:r>
      <w:r>
        <w:rPr>
          <w:rFonts w:hint="eastAsia" w:ascii="楷体" w:hAnsi="楷体" w:eastAsia="楷体"/>
          <w:b w:val="0"/>
          <w:bCs w:val="0"/>
          <w:sz w:val="21"/>
          <w:szCs w:val="21"/>
          <w:highlight w:val="none"/>
          <w:lang w:val="en-US" w:eastAsia="zh-CN"/>
        </w:rPr>
        <w:t>公司</w:t>
      </w:r>
      <w:r>
        <w:rPr>
          <w:rFonts w:hint="eastAsia" w:ascii="楷体" w:hAnsi="楷体" w:eastAsia="楷体"/>
          <w:b w:val="0"/>
          <w:bCs w:val="0"/>
          <w:sz w:val="21"/>
          <w:szCs w:val="21"/>
          <w:highlight w:val="none"/>
        </w:rPr>
        <w:t>官方网站或者向销售机构查询获取披露信息</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内容及时间</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发行公告：管理人在产品成立后5个工作日内，披露产品成立公告，内容包括理财产品成立日期和募集规模等信息。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重大事项公告：管理人在发生可能对理财产品投资者或者理财产品收益</w:t>
      </w:r>
      <w:r>
        <w:rPr>
          <w:rFonts w:hint="eastAsia" w:ascii="楷体" w:hAnsi="楷体" w:eastAsia="楷体" w:cs="Calibri"/>
          <w:color w:val="auto"/>
          <w:sz w:val="21"/>
          <w:szCs w:val="21"/>
          <w:highlight w:val="none"/>
          <w:lang w:val="en-US" w:eastAsia="zh-CN"/>
        </w:rPr>
        <w:t>产生重大影响</w:t>
      </w:r>
      <w:r>
        <w:rPr>
          <w:rFonts w:hint="eastAsia" w:ascii="楷体" w:hAnsi="楷体" w:eastAsia="楷体" w:cs="Calibri"/>
          <w:color w:val="auto"/>
          <w:sz w:val="21"/>
          <w:szCs w:val="21"/>
          <w:highlight w:val="none"/>
        </w:rPr>
        <w:t>的事件后2个工作日内发布重大事项公告。</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临时性信息：管理人将及时披露国务院银行业监督管理机构规定的其他信息或除重大事项事件以外的其他信息。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半年度整体报告：每半年披露从事理财业务活动的有关信息。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highlight w:val="none"/>
          <w:lang w:val="en-US" w:eastAsia="zh-CN"/>
        </w:rPr>
        <w:t>单位</w:t>
      </w:r>
      <w:r>
        <w:rPr>
          <w:rFonts w:hint="eastAsia" w:ascii="楷体" w:hAnsi="楷体" w:eastAsia="楷体" w:cs="Calibri"/>
          <w:color w:val="auto"/>
          <w:sz w:val="21"/>
          <w:szCs w:val="21"/>
          <w:highlight w:val="none"/>
        </w:rPr>
        <w:t>净值、份额累计净值、资产净值、收益情况、投资者理财交易账户发生的交易明细记录等信息。</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其他</w:t>
      </w:r>
    </w:p>
    <w:p>
      <w:pPr>
        <w:keepNext w:val="0"/>
        <w:keepLines w:val="0"/>
        <w:pageBreakBefore w:val="0"/>
        <w:widowControl w:val="0"/>
        <w:numPr>
          <w:ilvl w:val="0"/>
          <w:numId w:val="20"/>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追索条款</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0"/>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苏银理财及</w:t>
      </w:r>
      <w:r>
        <w:rPr>
          <w:rFonts w:hint="eastAsia" w:ascii="楷体" w:hAnsi="楷体" w:eastAsia="楷体"/>
          <w:b w:val="0"/>
          <w:bCs w:val="0"/>
          <w:color w:val="auto"/>
          <w:sz w:val="21"/>
          <w:szCs w:val="21"/>
          <w:highlight w:val="none"/>
          <w:lang w:val="en-US" w:eastAsia="zh-CN"/>
        </w:rPr>
        <w:t>销售</w:t>
      </w:r>
      <w:r>
        <w:rPr>
          <w:rFonts w:hint="eastAsia" w:ascii="楷体" w:hAnsi="楷体" w:eastAsia="楷体"/>
          <w:b w:val="0"/>
          <w:bCs w:val="0"/>
          <w:color w:val="auto"/>
          <w:sz w:val="21"/>
          <w:szCs w:val="21"/>
          <w:highlight w:val="none"/>
        </w:rPr>
        <w:t>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0"/>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争议解决</w:t>
      </w:r>
    </w:p>
    <w:p>
      <w:pPr>
        <w:keepNext w:val="0"/>
        <w:keepLines w:val="0"/>
        <w:pageBreakBefore w:val="0"/>
        <w:wordWrap/>
        <w:topLinePunct w:val="0"/>
        <w:autoSpaceDE/>
        <w:autoSpaceDN/>
        <w:bidi w:val="0"/>
        <w:adjustRightInd w:val="0"/>
        <w:ind w:firstLine="420" w:firstLineChars="200"/>
        <w:textAlignment w:val="auto"/>
        <w:rPr>
          <w:rFonts w:hint="eastAsia" w:ascii="楷体" w:hAnsi="楷体" w:eastAsia="楷体"/>
          <w:sz w:val="24"/>
          <w:szCs w:val="24"/>
          <w:highlight w:val="none"/>
        </w:rPr>
      </w:pP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highlight w:val="none"/>
          <w:lang w:val="en-US" w:eastAsia="zh-CN"/>
        </w:rPr>
        <w:t>因本产品说明书</w:t>
      </w:r>
      <w:r>
        <w:rPr>
          <w:rFonts w:hint="eastAsia" w:ascii="楷体" w:hAnsi="楷体" w:eastAsia="楷体"/>
          <w:b w:val="0"/>
          <w:bCs w:val="0"/>
          <w:color w:val="auto"/>
          <w:sz w:val="21"/>
          <w:szCs w:val="21"/>
          <w:highlight w:val="none"/>
        </w:rPr>
        <w:t>引起的或与</w:t>
      </w: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35</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drawing>
        <wp:anchor distT="0" distB="0" distL="114300" distR="114300" simplePos="0" relativeHeight="251662336" behindDoc="0" locked="0" layoutInCell="1" allowOverlap="1">
          <wp:simplePos x="0" y="0"/>
          <wp:positionH relativeFrom="column">
            <wp:posOffset>4992370</wp:posOffset>
          </wp:positionH>
          <wp:positionV relativeFrom="paragraph">
            <wp:posOffset>-124460</wp:posOffset>
          </wp:positionV>
          <wp:extent cx="1325245" cy="424815"/>
          <wp:effectExtent l="0" t="0" r="635" b="190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1"/>
                  <a:stretch>
                    <a:fillRect/>
                  </a:stretch>
                </pic:blipFill>
                <pic:spPr>
                  <a:xfrm>
                    <a:off x="0" y="0"/>
                    <a:ext cx="1325245" cy="424815"/>
                  </a:xfrm>
                  <a:prstGeom prst="rect">
                    <a:avLst/>
                  </a:prstGeom>
                  <a:noFill/>
                  <a:ln>
                    <a:noFill/>
                  </a:ln>
                </pic:spPr>
              </pic:pic>
            </a:graphicData>
          </a:graphic>
        </wp:anchor>
      </w:drawing>
    </w: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3175" b="698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2">
                    <a:lum bright="70001" contrast="-70000"/>
                  </a:blip>
                  <a:stretch>
                    <a:fillRect/>
                  </a:stretch>
                </pic:blipFill>
                <pic:spPr>
                  <a:xfrm>
                    <a:off x="0" y="0"/>
                    <a:ext cx="14444345" cy="1095819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3175" b="698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3175" b="698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9EF6621"/>
    <w:multiLevelType w:val="multilevel"/>
    <w:tmpl w:val="89EF6621"/>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9C08A8C"/>
    <w:multiLevelType w:val="multilevel"/>
    <w:tmpl w:val="A9C08A8C"/>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6">
    <w:nsid w:val="D55A4D67"/>
    <w:multiLevelType w:val="multilevel"/>
    <w:tmpl w:val="D55A4D67"/>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F9EB37A1"/>
    <w:multiLevelType w:val="multilevel"/>
    <w:tmpl w:val="F9EB37A1"/>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FABDD487"/>
    <w:multiLevelType w:val="multilevel"/>
    <w:tmpl w:val="FABDD487"/>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FFB76D11"/>
    <w:multiLevelType w:val="multilevel"/>
    <w:tmpl w:val="FFB76D11"/>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2F62CAAB"/>
    <w:multiLevelType w:val="singleLevel"/>
    <w:tmpl w:val="2F62CAAB"/>
    <w:lvl w:ilvl="0" w:tentative="0">
      <w:start w:val="1"/>
      <w:numFmt w:val="decimal"/>
      <w:suff w:val="nothing"/>
      <w:lvlText w:val="%1."/>
      <w:lvlJc w:val="left"/>
      <w:pPr>
        <w:tabs>
          <w:tab w:val="left" w:pos="0"/>
        </w:tabs>
        <w:ind w:left="0" w:firstLine="0"/>
      </w:pPr>
      <w:rPr>
        <w:rFonts w:hint="default"/>
      </w:rPr>
    </w:lvl>
  </w:abstractNum>
  <w:abstractNum w:abstractNumId="13">
    <w:nsid w:val="3603F780"/>
    <w:multiLevelType w:val="multilevel"/>
    <w:tmpl w:val="3603F780"/>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5">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6">
    <w:nsid w:val="537C70F8"/>
    <w:multiLevelType w:val="multilevel"/>
    <w:tmpl w:val="537C70F8"/>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557CABA9"/>
    <w:multiLevelType w:val="multilevel"/>
    <w:tmpl w:val="557CABA9"/>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66CD7663"/>
    <w:multiLevelType w:val="multilevel"/>
    <w:tmpl w:val="66CD7663"/>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4"/>
  </w:num>
  <w:num w:numId="2">
    <w:abstractNumId w:val="16"/>
  </w:num>
  <w:num w:numId="3">
    <w:abstractNumId w:val="4"/>
  </w:num>
  <w:num w:numId="4">
    <w:abstractNumId w:val="3"/>
  </w:num>
  <w:num w:numId="5">
    <w:abstractNumId w:val="10"/>
  </w:num>
  <w:num w:numId="6">
    <w:abstractNumId w:val="6"/>
  </w:num>
  <w:num w:numId="7">
    <w:abstractNumId w:val="5"/>
  </w:num>
  <w:num w:numId="8">
    <w:abstractNumId w:val="15"/>
  </w:num>
  <w:num w:numId="9">
    <w:abstractNumId w:val="18"/>
  </w:num>
  <w:num w:numId="10">
    <w:abstractNumId w:val="9"/>
  </w:num>
  <w:num w:numId="11">
    <w:abstractNumId w:val="17"/>
  </w:num>
  <w:num w:numId="12">
    <w:abstractNumId w:val="11"/>
  </w:num>
  <w:num w:numId="13">
    <w:abstractNumId w:val="1"/>
  </w:num>
  <w:num w:numId="14">
    <w:abstractNumId w:val="0"/>
  </w:num>
  <w:num w:numId="15">
    <w:abstractNumId w:val="19"/>
  </w:num>
  <w:num w:numId="16">
    <w:abstractNumId w:val="12"/>
  </w:num>
  <w:num w:numId="17">
    <w:abstractNumId w:val="2"/>
  </w:num>
  <w:num w:numId="18">
    <w:abstractNumId w:val="13"/>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D6B"/>
    <w:rsid w:val="00001E2F"/>
    <w:rsid w:val="00002389"/>
    <w:rsid w:val="000025C6"/>
    <w:rsid w:val="00003606"/>
    <w:rsid w:val="000043F8"/>
    <w:rsid w:val="000048B0"/>
    <w:rsid w:val="00004FA3"/>
    <w:rsid w:val="00005B01"/>
    <w:rsid w:val="00007563"/>
    <w:rsid w:val="00007F77"/>
    <w:rsid w:val="000101E4"/>
    <w:rsid w:val="0001103A"/>
    <w:rsid w:val="000120EF"/>
    <w:rsid w:val="000130AA"/>
    <w:rsid w:val="000131EF"/>
    <w:rsid w:val="00013628"/>
    <w:rsid w:val="00014334"/>
    <w:rsid w:val="00015A92"/>
    <w:rsid w:val="00015D58"/>
    <w:rsid w:val="00016232"/>
    <w:rsid w:val="00017AB0"/>
    <w:rsid w:val="000202D4"/>
    <w:rsid w:val="0002052D"/>
    <w:rsid w:val="000206F2"/>
    <w:rsid w:val="00020A6F"/>
    <w:rsid w:val="00021007"/>
    <w:rsid w:val="00022C9F"/>
    <w:rsid w:val="00023BA8"/>
    <w:rsid w:val="0002422A"/>
    <w:rsid w:val="000247F9"/>
    <w:rsid w:val="00027967"/>
    <w:rsid w:val="00027E0E"/>
    <w:rsid w:val="00027E61"/>
    <w:rsid w:val="00027F48"/>
    <w:rsid w:val="0003072E"/>
    <w:rsid w:val="00030D69"/>
    <w:rsid w:val="00031806"/>
    <w:rsid w:val="00031F80"/>
    <w:rsid w:val="00033EF7"/>
    <w:rsid w:val="00034890"/>
    <w:rsid w:val="000348C1"/>
    <w:rsid w:val="00035097"/>
    <w:rsid w:val="00036482"/>
    <w:rsid w:val="000372DB"/>
    <w:rsid w:val="00037CC9"/>
    <w:rsid w:val="000405B1"/>
    <w:rsid w:val="00042DCC"/>
    <w:rsid w:val="00043D5F"/>
    <w:rsid w:val="000461C3"/>
    <w:rsid w:val="000469D0"/>
    <w:rsid w:val="00046E92"/>
    <w:rsid w:val="00050975"/>
    <w:rsid w:val="00050DF3"/>
    <w:rsid w:val="00050E5A"/>
    <w:rsid w:val="00051317"/>
    <w:rsid w:val="00051703"/>
    <w:rsid w:val="0005219D"/>
    <w:rsid w:val="000532AB"/>
    <w:rsid w:val="00053BD9"/>
    <w:rsid w:val="00054854"/>
    <w:rsid w:val="000554B0"/>
    <w:rsid w:val="00055892"/>
    <w:rsid w:val="00056102"/>
    <w:rsid w:val="00056289"/>
    <w:rsid w:val="00057D3B"/>
    <w:rsid w:val="00060571"/>
    <w:rsid w:val="00061D74"/>
    <w:rsid w:val="00062791"/>
    <w:rsid w:val="000636A6"/>
    <w:rsid w:val="00063EE4"/>
    <w:rsid w:val="0006404F"/>
    <w:rsid w:val="00064F2B"/>
    <w:rsid w:val="000650CF"/>
    <w:rsid w:val="000656DE"/>
    <w:rsid w:val="0006590E"/>
    <w:rsid w:val="00066F56"/>
    <w:rsid w:val="000677EE"/>
    <w:rsid w:val="000679B3"/>
    <w:rsid w:val="00067F18"/>
    <w:rsid w:val="00070D08"/>
    <w:rsid w:val="000713B1"/>
    <w:rsid w:val="00071418"/>
    <w:rsid w:val="00071581"/>
    <w:rsid w:val="00072647"/>
    <w:rsid w:val="0007293A"/>
    <w:rsid w:val="00072D1F"/>
    <w:rsid w:val="0007366C"/>
    <w:rsid w:val="00074189"/>
    <w:rsid w:val="00074306"/>
    <w:rsid w:val="00077C7D"/>
    <w:rsid w:val="000807AE"/>
    <w:rsid w:val="00080C2C"/>
    <w:rsid w:val="00081AD6"/>
    <w:rsid w:val="0008269B"/>
    <w:rsid w:val="00083410"/>
    <w:rsid w:val="0008386F"/>
    <w:rsid w:val="000853F6"/>
    <w:rsid w:val="000867A8"/>
    <w:rsid w:val="00087036"/>
    <w:rsid w:val="00087EDB"/>
    <w:rsid w:val="000914A2"/>
    <w:rsid w:val="000918B5"/>
    <w:rsid w:val="00093C11"/>
    <w:rsid w:val="00094566"/>
    <w:rsid w:val="00094631"/>
    <w:rsid w:val="00094EA8"/>
    <w:rsid w:val="0009533A"/>
    <w:rsid w:val="00096382"/>
    <w:rsid w:val="00096F94"/>
    <w:rsid w:val="0009795C"/>
    <w:rsid w:val="00097F80"/>
    <w:rsid w:val="000A0CF5"/>
    <w:rsid w:val="000A1E61"/>
    <w:rsid w:val="000A2D2D"/>
    <w:rsid w:val="000A2E68"/>
    <w:rsid w:val="000A326F"/>
    <w:rsid w:val="000A45AB"/>
    <w:rsid w:val="000A5306"/>
    <w:rsid w:val="000A5A45"/>
    <w:rsid w:val="000A5AC2"/>
    <w:rsid w:val="000B0078"/>
    <w:rsid w:val="000B22CD"/>
    <w:rsid w:val="000B2615"/>
    <w:rsid w:val="000B28FE"/>
    <w:rsid w:val="000B3B58"/>
    <w:rsid w:val="000B3EFD"/>
    <w:rsid w:val="000B4253"/>
    <w:rsid w:val="000B52D9"/>
    <w:rsid w:val="000B659B"/>
    <w:rsid w:val="000B6AEF"/>
    <w:rsid w:val="000B6E9F"/>
    <w:rsid w:val="000C12E3"/>
    <w:rsid w:val="000C42F9"/>
    <w:rsid w:val="000C44FD"/>
    <w:rsid w:val="000C54ED"/>
    <w:rsid w:val="000C6143"/>
    <w:rsid w:val="000C6B07"/>
    <w:rsid w:val="000C7382"/>
    <w:rsid w:val="000D0059"/>
    <w:rsid w:val="000D08F8"/>
    <w:rsid w:val="000D10C9"/>
    <w:rsid w:val="000D1F0D"/>
    <w:rsid w:val="000D2387"/>
    <w:rsid w:val="000D35BD"/>
    <w:rsid w:val="000D4F83"/>
    <w:rsid w:val="000D71CF"/>
    <w:rsid w:val="000D7225"/>
    <w:rsid w:val="000D722C"/>
    <w:rsid w:val="000D7809"/>
    <w:rsid w:val="000E0485"/>
    <w:rsid w:val="000E2E7D"/>
    <w:rsid w:val="000E34A7"/>
    <w:rsid w:val="000E34F3"/>
    <w:rsid w:val="000E400B"/>
    <w:rsid w:val="000E4205"/>
    <w:rsid w:val="000E575B"/>
    <w:rsid w:val="000E6227"/>
    <w:rsid w:val="000E6310"/>
    <w:rsid w:val="000E7CF6"/>
    <w:rsid w:val="000E7E08"/>
    <w:rsid w:val="000E7E53"/>
    <w:rsid w:val="000F0433"/>
    <w:rsid w:val="000F0802"/>
    <w:rsid w:val="000F0B34"/>
    <w:rsid w:val="000F1D3C"/>
    <w:rsid w:val="000F2129"/>
    <w:rsid w:val="000F3DD2"/>
    <w:rsid w:val="000F4243"/>
    <w:rsid w:val="000F4ABF"/>
    <w:rsid w:val="000F5B66"/>
    <w:rsid w:val="000F5FF6"/>
    <w:rsid w:val="000F65C5"/>
    <w:rsid w:val="000F7056"/>
    <w:rsid w:val="000F7D2C"/>
    <w:rsid w:val="000F7F9F"/>
    <w:rsid w:val="00100F0C"/>
    <w:rsid w:val="001025A3"/>
    <w:rsid w:val="0010303D"/>
    <w:rsid w:val="001030B4"/>
    <w:rsid w:val="001036A0"/>
    <w:rsid w:val="0010457E"/>
    <w:rsid w:val="001065F5"/>
    <w:rsid w:val="00106AD4"/>
    <w:rsid w:val="00106C25"/>
    <w:rsid w:val="00106C69"/>
    <w:rsid w:val="00110417"/>
    <w:rsid w:val="00110A34"/>
    <w:rsid w:val="00111670"/>
    <w:rsid w:val="001116B6"/>
    <w:rsid w:val="00111E3E"/>
    <w:rsid w:val="001126F6"/>
    <w:rsid w:val="001128B8"/>
    <w:rsid w:val="00113CAA"/>
    <w:rsid w:val="0011567D"/>
    <w:rsid w:val="00115E7F"/>
    <w:rsid w:val="00121925"/>
    <w:rsid w:val="00122F58"/>
    <w:rsid w:val="0012352A"/>
    <w:rsid w:val="00123893"/>
    <w:rsid w:val="001238E9"/>
    <w:rsid w:val="0012411A"/>
    <w:rsid w:val="001242DE"/>
    <w:rsid w:val="00125B8C"/>
    <w:rsid w:val="0012647A"/>
    <w:rsid w:val="00126CA4"/>
    <w:rsid w:val="0013007E"/>
    <w:rsid w:val="00130849"/>
    <w:rsid w:val="00130EED"/>
    <w:rsid w:val="00130F7B"/>
    <w:rsid w:val="00132F8C"/>
    <w:rsid w:val="001334DD"/>
    <w:rsid w:val="0013364F"/>
    <w:rsid w:val="00133916"/>
    <w:rsid w:val="00133B98"/>
    <w:rsid w:val="00133F17"/>
    <w:rsid w:val="0013472F"/>
    <w:rsid w:val="00134733"/>
    <w:rsid w:val="001359ED"/>
    <w:rsid w:val="00136031"/>
    <w:rsid w:val="00136174"/>
    <w:rsid w:val="0013788B"/>
    <w:rsid w:val="0014066A"/>
    <w:rsid w:val="00140B25"/>
    <w:rsid w:val="00141246"/>
    <w:rsid w:val="001416EE"/>
    <w:rsid w:val="0014279A"/>
    <w:rsid w:val="00142AE4"/>
    <w:rsid w:val="001450DF"/>
    <w:rsid w:val="00145CA6"/>
    <w:rsid w:val="0014734D"/>
    <w:rsid w:val="00152B36"/>
    <w:rsid w:val="001530B2"/>
    <w:rsid w:val="001539BE"/>
    <w:rsid w:val="001543E7"/>
    <w:rsid w:val="00155147"/>
    <w:rsid w:val="00155B77"/>
    <w:rsid w:val="001602D7"/>
    <w:rsid w:val="00160569"/>
    <w:rsid w:val="001607BE"/>
    <w:rsid w:val="00161E2F"/>
    <w:rsid w:val="001624A3"/>
    <w:rsid w:val="001624CE"/>
    <w:rsid w:val="001624DA"/>
    <w:rsid w:val="00162BF5"/>
    <w:rsid w:val="001635F5"/>
    <w:rsid w:val="001639EF"/>
    <w:rsid w:val="001640D4"/>
    <w:rsid w:val="00165E23"/>
    <w:rsid w:val="00166B3A"/>
    <w:rsid w:val="00166CD4"/>
    <w:rsid w:val="00170099"/>
    <w:rsid w:val="00170194"/>
    <w:rsid w:val="00170927"/>
    <w:rsid w:val="0017092A"/>
    <w:rsid w:val="00170984"/>
    <w:rsid w:val="001722CD"/>
    <w:rsid w:val="001725B6"/>
    <w:rsid w:val="00172ACA"/>
    <w:rsid w:val="00172D8B"/>
    <w:rsid w:val="00172F57"/>
    <w:rsid w:val="00173177"/>
    <w:rsid w:val="00174417"/>
    <w:rsid w:val="001749CF"/>
    <w:rsid w:val="00175CEC"/>
    <w:rsid w:val="00176B8E"/>
    <w:rsid w:val="00176DCF"/>
    <w:rsid w:val="00177BCC"/>
    <w:rsid w:val="0018035B"/>
    <w:rsid w:val="00180DEC"/>
    <w:rsid w:val="00181CB9"/>
    <w:rsid w:val="0018251A"/>
    <w:rsid w:val="00183891"/>
    <w:rsid w:val="0018458D"/>
    <w:rsid w:val="001846FB"/>
    <w:rsid w:val="00185658"/>
    <w:rsid w:val="00185919"/>
    <w:rsid w:val="00190AA2"/>
    <w:rsid w:val="0019215D"/>
    <w:rsid w:val="00194059"/>
    <w:rsid w:val="00194E69"/>
    <w:rsid w:val="00197DD9"/>
    <w:rsid w:val="001A05F5"/>
    <w:rsid w:val="001A2CFB"/>
    <w:rsid w:val="001A46C0"/>
    <w:rsid w:val="001A57DB"/>
    <w:rsid w:val="001A586B"/>
    <w:rsid w:val="001A73F1"/>
    <w:rsid w:val="001A743E"/>
    <w:rsid w:val="001B043A"/>
    <w:rsid w:val="001B146C"/>
    <w:rsid w:val="001B1D26"/>
    <w:rsid w:val="001B1E1E"/>
    <w:rsid w:val="001B2F76"/>
    <w:rsid w:val="001B2F82"/>
    <w:rsid w:val="001B396B"/>
    <w:rsid w:val="001B4715"/>
    <w:rsid w:val="001B4B9C"/>
    <w:rsid w:val="001B5E33"/>
    <w:rsid w:val="001B7D0D"/>
    <w:rsid w:val="001B7F23"/>
    <w:rsid w:val="001C13E9"/>
    <w:rsid w:val="001C20D1"/>
    <w:rsid w:val="001C319E"/>
    <w:rsid w:val="001C3F7D"/>
    <w:rsid w:val="001C4148"/>
    <w:rsid w:val="001C5E04"/>
    <w:rsid w:val="001C78FF"/>
    <w:rsid w:val="001C7AE7"/>
    <w:rsid w:val="001D016F"/>
    <w:rsid w:val="001D03B6"/>
    <w:rsid w:val="001D0B29"/>
    <w:rsid w:val="001D1C27"/>
    <w:rsid w:val="001D204E"/>
    <w:rsid w:val="001D27D0"/>
    <w:rsid w:val="001D2A8B"/>
    <w:rsid w:val="001D2BA1"/>
    <w:rsid w:val="001D3862"/>
    <w:rsid w:val="001D3D33"/>
    <w:rsid w:val="001D438D"/>
    <w:rsid w:val="001D49AC"/>
    <w:rsid w:val="001D4BC9"/>
    <w:rsid w:val="001D4FE1"/>
    <w:rsid w:val="001D77C6"/>
    <w:rsid w:val="001D7888"/>
    <w:rsid w:val="001D78FF"/>
    <w:rsid w:val="001E0387"/>
    <w:rsid w:val="001E1E57"/>
    <w:rsid w:val="001E1FC6"/>
    <w:rsid w:val="001E223F"/>
    <w:rsid w:val="001E2B6E"/>
    <w:rsid w:val="001E4374"/>
    <w:rsid w:val="001E4A82"/>
    <w:rsid w:val="001E4C0D"/>
    <w:rsid w:val="001E4E95"/>
    <w:rsid w:val="001E5FBA"/>
    <w:rsid w:val="001E631F"/>
    <w:rsid w:val="001F0A69"/>
    <w:rsid w:val="001F1728"/>
    <w:rsid w:val="001F1774"/>
    <w:rsid w:val="001F24A4"/>
    <w:rsid w:val="001F2658"/>
    <w:rsid w:val="001F3560"/>
    <w:rsid w:val="001F3AD6"/>
    <w:rsid w:val="001F3CCB"/>
    <w:rsid w:val="001F46D5"/>
    <w:rsid w:val="001F4F46"/>
    <w:rsid w:val="001F5B12"/>
    <w:rsid w:val="001F5C21"/>
    <w:rsid w:val="001F6073"/>
    <w:rsid w:val="001F63BD"/>
    <w:rsid w:val="001F6775"/>
    <w:rsid w:val="001F69BF"/>
    <w:rsid w:val="002005FF"/>
    <w:rsid w:val="00200A0E"/>
    <w:rsid w:val="00200DF8"/>
    <w:rsid w:val="002016BF"/>
    <w:rsid w:val="002024E9"/>
    <w:rsid w:val="00203A58"/>
    <w:rsid w:val="002054DB"/>
    <w:rsid w:val="00206282"/>
    <w:rsid w:val="0020639A"/>
    <w:rsid w:val="00206ED3"/>
    <w:rsid w:val="0020755B"/>
    <w:rsid w:val="00210354"/>
    <w:rsid w:val="00210857"/>
    <w:rsid w:val="00210AFE"/>
    <w:rsid w:val="00210D30"/>
    <w:rsid w:val="002119A2"/>
    <w:rsid w:val="00213962"/>
    <w:rsid w:val="00216601"/>
    <w:rsid w:val="0022162D"/>
    <w:rsid w:val="002222A4"/>
    <w:rsid w:val="002224F0"/>
    <w:rsid w:val="00224B8A"/>
    <w:rsid w:val="00224F31"/>
    <w:rsid w:val="0022633B"/>
    <w:rsid w:val="00226F9D"/>
    <w:rsid w:val="00230F4A"/>
    <w:rsid w:val="00231C72"/>
    <w:rsid w:val="002320C7"/>
    <w:rsid w:val="0023523A"/>
    <w:rsid w:val="00235E45"/>
    <w:rsid w:val="0023664F"/>
    <w:rsid w:val="002366EB"/>
    <w:rsid w:val="00236A4E"/>
    <w:rsid w:val="00236EB7"/>
    <w:rsid w:val="00237631"/>
    <w:rsid w:val="00237FDB"/>
    <w:rsid w:val="0024053C"/>
    <w:rsid w:val="0024338D"/>
    <w:rsid w:val="00243629"/>
    <w:rsid w:val="002436C1"/>
    <w:rsid w:val="00243788"/>
    <w:rsid w:val="00243DF5"/>
    <w:rsid w:val="002441BB"/>
    <w:rsid w:val="00245106"/>
    <w:rsid w:val="00245D03"/>
    <w:rsid w:val="0024688C"/>
    <w:rsid w:val="00247A7D"/>
    <w:rsid w:val="00250DAF"/>
    <w:rsid w:val="0025150E"/>
    <w:rsid w:val="0025215F"/>
    <w:rsid w:val="00252B51"/>
    <w:rsid w:val="00252FF1"/>
    <w:rsid w:val="00253264"/>
    <w:rsid w:val="00253997"/>
    <w:rsid w:val="00253A8D"/>
    <w:rsid w:val="0025423C"/>
    <w:rsid w:val="00254A3C"/>
    <w:rsid w:val="00254A8B"/>
    <w:rsid w:val="00254B4A"/>
    <w:rsid w:val="00255254"/>
    <w:rsid w:val="00256E57"/>
    <w:rsid w:val="0025744E"/>
    <w:rsid w:val="00262060"/>
    <w:rsid w:val="00264A42"/>
    <w:rsid w:val="00265E97"/>
    <w:rsid w:val="0026641B"/>
    <w:rsid w:val="0026713D"/>
    <w:rsid w:val="002672C8"/>
    <w:rsid w:val="00267CC6"/>
    <w:rsid w:val="00270665"/>
    <w:rsid w:val="002723A5"/>
    <w:rsid w:val="00272B03"/>
    <w:rsid w:val="00272C53"/>
    <w:rsid w:val="00272E20"/>
    <w:rsid w:val="00273681"/>
    <w:rsid w:val="00274587"/>
    <w:rsid w:val="0027510A"/>
    <w:rsid w:val="00276883"/>
    <w:rsid w:val="00276B00"/>
    <w:rsid w:val="002770C9"/>
    <w:rsid w:val="00277C1F"/>
    <w:rsid w:val="00280589"/>
    <w:rsid w:val="00281EF2"/>
    <w:rsid w:val="002821D7"/>
    <w:rsid w:val="00282E61"/>
    <w:rsid w:val="00282F20"/>
    <w:rsid w:val="00282F5C"/>
    <w:rsid w:val="002835E9"/>
    <w:rsid w:val="00283E39"/>
    <w:rsid w:val="00286571"/>
    <w:rsid w:val="00286A20"/>
    <w:rsid w:val="00287B11"/>
    <w:rsid w:val="0029004F"/>
    <w:rsid w:val="00291B4A"/>
    <w:rsid w:val="00291B84"/>
    <w:rsid w:val="00291C31"/>
    <w:rsid w:val="00292B5E"/>
    <w:rsid w:val="002932FC"/>
    <w:rsid w:val="00293A89"/>
    <w:rsid w:val="00293FBC"/>
    <w:rsid w:val="00294431"/>
    <w:rsid w:val="00294B49"/>
    <w:rsid w:val="00295538"/>
    <w:rsid w:val="00297034"/>
    <w:rsid w:val="002A2202"/>
    <w:rsid w:val="002A23E0"/>
    <w:rsid w:val="002A2E20"/>
    <w:rsid w:val="002A32DF"/>
    <w:rsid w:val="002A336C"/>
    <w:rsid w:val="002A4DD2"/>
    <w:rsid w:val="002A5B1C"/>
    <w:rsid w:val="002A7DF5"/>
    <w:rsid w:val="002A7E94"/>
    <w:rsid w:val="002B0795"/>
    <w:rsid w:val="002B082C"/>
    <w:rsid w:val="002B1D8F"/>
    <w:rsid w:val="002B2620"/>
    <w:rsid w:val="002B313B"/>
    <w:rsid w:val="002B3225"/>
    <w:rsid w:val="002B3AAF"/>
    <w:rsid w:val="002B5694"/>
    <w:rsid w:val="002B5A73"/>
    <w:rsid w:val="002B6012"/>
    <w:rsid w:val="002B73E8"/>
    <w:rsid w:val="002B7DD3"/>
    <w:rsid w:val="002C021F"/>
    <w:rsid w:val="002C108C"/>
    <w:rsid w:val="002C10DD"/>
    <w:rsid w:val="002C1C8A"/>
    <w:rsid w:val="002C2056"/>
    <w:rsid w:val="002C23F7"/>
    <w:rsid w:val="002C3367"/>
    <w:rsid w:val="002C5770"/>
    <w:rsid w:val="002C608B"/>
    <w:rsid w:val="002C68E0"/>
    <w:rsid w:val="002C7CB4"/>
    <w:rsid w:val="002C7E29"/>
    <w:rsid w:val="002D2324"/>
    <w:rsid w:val="002D29FD"/>
    <w:rsid w:val="002D2A0A"/>
    <w:rsid w:val="002D2AEC"/>
    <w:rsid w:val="002D2C1F"/>
    <w:rsid w:val="002D2EE2"/>
    <w:rsid w:val="002D4E9A"/>
    <w:rsid w:val="002E0399"/>
    <w:rsid w:val="002E05A6"/>
    <w:rsid w:val="002E1111"/>
    <w:rsid w:val="002E1382"/>
    <w:rsid w:val="002E4764"/>
    <w:rsid w:val="002E6F55"/>
    <w:rsid w:val="002F04F7"/>
    <w:rsid w:val="002F0E4E"/>
    <w:rsid w:val="002F1300"/>
    <w:rsid w:val="002F344B"/>
    <w:rsid w:val="002F38F0"/>
    <w:rsid w:val="002F530E"/>
    <w:rsid w:val="002F582F"/>
    <w:rsid w:val="002F6206"/>
    <w:rsid w:val="002F709A"/>
    <w:rsid w:val="002F77A8"/>
    <w:rsid w:val="002F7F72"/>
    <w:rsid w:val="00301619"/>
    <w:rsid w:val="00301AD3"/>
    <w:rsid w:val="00302755"/>
    <w:rsid w:val="003038BD"/>
    <w:rsid w:val="00303C11"/>
    <w:rsid w:val="00304C13"/>
    <w:rsid w:val="003055CF"/>
    <w:rsid w:val="00305A15"/>
    <w:rsid w:val="00306353"/>
    <w:rsid w:val="00306D41"/>
    <w:rsid w:val="00307094"/>
    <w:rsid w:val="00307342"/>
    <w:rsid w:val="00310272"/>
    <w:rsid w:val="00310A72"/>
    <w:rsid w:val="00311C18"/>
    <w:rsid w:val="0031298C"/>
    <w:rsid w:val="0031385E"/>
    <w:rsid w:val="00313D52"/>
    <w:rsid w:val="00314235"/>
    <w:rsid w:val="003210D3"/>
    <w:rsid w:val="0032273F"/>
    <w:rsid w:val="00322BC7"/>
    <w:rsid w:val="00324E2B"/>
    <w:rsid w:val="003259F5"/>
    <w:rsid w:val="0032607C"/>
    <w:rsid w:val="00326E7B"/>
    <w:rsid w:val="003271C0"/>
    <w:rsid w:val="0033166C"/>
    <w:rsid w:val="00331675"/>
    <w:rsid w:val="0033358A"/>
    <w:rsid w:val="003342B8"/>
    <w:rsid w:val="00334733"/>
    <w:rsid w:val="0033504B"/>
    <w:rsid w:val="003362C7"/>
    <w:rsid w:val="00336A5A"/>
    <w:rsid w:val="00337787"/>
    <w:rsid w:val="00337AA0"/>
    <w:rsid w:val="00340469"/>
    <w:rsid w:val="00340C96"/>
    <w:rsid w:val="00340F90"/>
    <w:rsid w:val="00342ADB"/>
    <w:rsid w:val="00342B49"/>
    <w:rsid w:val="00343B0F"/>
    <w:rsid w:val="00346888"/>
    <w:rsid w:val="00346AC5"/>
    <w:rsid w:val="00347006"/>
    <w:rsid w:val="00347C86"/>
    <w:rsid w:val="00347D0D"/>
    <w:rsid w:val="003503AE"/>
    <w:rsid w:val="00351D8C"/>
    <w:rsid w:val="0035213A"/>
    <w:rsid w:val="00352C28"/>
    <w:rsid w:val="003532BE"/>
    <w:rsid w:val="00353419"/>
    <w:rsid w:val="00355122"/>
    <w:rsid w:val="00355D35"/>
    <w:rsid w:val="00356370"/>
    <w:rsid w:val="00360094"/>
    <w:rsid w:val="003610D6"/>
    <w:rsid w:val="00361313"/>
    <w:rsid w:val="00361E69"/>
    <w:rsid w:val="003627FB"/>
    <w:rsid w:val="00362826"/>
    <w:rsid w:val="0036403D"/>
    <w:rsid w:val="0036455C"/>
    <w:rsid w:val="0036520F"/>
    <w:rsid w:val="00366074"/>
    <w:rsid w:val="003668B4"/>
    <w:rsid w:val="00367122"/>
    <w:rsid w:val="003671A1"/>
    <w:rsid w:val="003674CC"/>
    <w:rsid w:val="003702CE"/>
    <w:rsid w:val="0037083D"/>
    <w:rsid w:val="00371CEE"/>
    <w:rsid w:val="00372402"/>
    <w:rsid w:val="003725B4"/>
    <w:rsid w:val="003726C4"/>
    <w:rsid w:val="003750B3"/>
    <w:rsid w:val="00375BEB"/>
    <w:rsid w:val="003767BD"/>
    <w:rsid w:val="00376909"/>
    <w:rsid w:val="003771CC"/>
    <w:rsid w:val="003800B4"/>
    <w:rsid w:val="003809E0"/>
    <w:rsid w:val="003814E2"/>
    <w:rsid w:val="00381AF1"/>
    <w:rsid w:val="00381E88"/>
    <w:rsid w:val="003821F9"/>
    <w:rsid w:val="003827CD"/>
    <w:rsid w:val="00382CF4"/>
    <w:rsid w:val="00383A99"/>
    <w:rsid w:val="00383D6D"/>
    <w:rsid w:val="00384D3B"/>
    <w:rsid w:val="003852EF"/>
    <w:rsid w:val="0038584E"/>
    <w:rsid w:val="003870EE"/>
    <w:rsid w:val="00390863"/>
    <w:rsid w:val="00390C78"/>
    <w:rsid w:val="00393452"/>
    <w:rsid w:val="003939DB"/>
    <w:rsid w:val="003949C1"/>
    <w:rsid w:val="00394C2C"/>
    <w:rsid w:val="00395C1B"/>
    <w:rsid w:val="0039628E"/>
    <w:rsid w:val="00396F85"/>
    <w:rsid w:val="0039723A"/>
    <w:rsid w:val="003A089D"/>
    <w:rsid w:val="003A1CB9"/>
    <w:rsid w:val="003A27B8"/>
    <w:rsid w:val="003A2D89"/>
    <w:rsid w:val="003A3465"/>
    <w:rsid w:val="003A3D8C"/>
    <w:rsid w:val="003A3F39"/>
    <w:rsid w:val="003A44A8"/>
    <w:rsid w:val="003A45DA"/>
    <w:rsid w:val="003A539D"/>
    <w:rsid w:val="003A547A"/>
    <w:rsid w:val="003A5FA1"/>
    <w:rsid w:val="003A689D"/>
    <w:rsid w:val="003A7623"/>
    <w:rsid w:val="003B14F1"/>
    <w:rsid w:val="003B26C5"/>
    <w:rsid w:val="003B3212"/>
    <w:rsid w:val="003B324C"/>
    <w:rsid w:val="003B6220"/>
    <w:rsid w:val="003B67D8"/>
    <w:rsid w:val="003B7083"/>
    <w:rsid w:val="003B76DC"/>
    <w:rsid w:val="003C1A98"/>
    <w:rsid w:val="003C1CC0"/>
    <w:rsid w:val="003C1E93"/>
    <w:rsid w:val="003C2547"/>
    <w:rsid w:val="003C2CED"/>
    <w:rsid w:val="003C3063"/>
    <w:rsid w:val="003C34D7"/>
    <w:rsid w:val="003C5489"/>
    <w:rsid w:val="003C54C5"/>
    <w:rsid w:val="003C596C"/>
    <w:rsid w:val="003C67DF"/>
    <w:rsid w:val="003C6A84"/>
    <w:rsid w:val="003C6E5E"/>
    <w:rsid w:val="003C7620"/>
    <w:rsid w:val="003D03AF"/>
    <w:rsid w:val="003D07CA"/>
    <w:rsid w:val="003D1EF9"/>
    <w:rsid w:val="003D1FE5"/>
    <w:rsid w:val="003D3735"/>
    <w:rsid w:val="003D3782"/>
    <w:rsid w:val="003D4868"/>
    <w:rsid w:val="003D4EF5"/>
    <w:rsid w:val="003D5148"/>
    <w:rsid w:val="003D5BCE"/>
    <w:rsid w:val="003D5C90"/>
    <w:rsid w:val="003D6081"/>
    <w:rsid w:val="003D6720"/>
    <w:rsid w:val="003D6B3F"/>
    <w:rsid w:val="003D74C0"/>
    <w:rsid w:val="003D7951"/>
    <w:rsid w:val="003D7E66"/>
    <w:rsid w:val="003E030F"/>
    <w:rsid w:val="003E07CF"/>
    <w:rsid w:val="003E122A"/>
    <w:rsid w:val="003E1EFB"/>
    <w:rsid w:val="003E2B26"/>
    <w:rsid w:val="003E4299"/>
    <w:rsid w:val="003E4849"/>
    <w:rsid w:val="003E53A3"/>
    <w:rsid w:val="003E70B9"/>
    <w:rsid w:val="003E7812"/>
    <w:rsid w:val="003F0B24"/>
    <w:rsid w:val="003F10FB"/>
    <w:rsid w:val="003F2136"/>
    <w:rsid w:val="003F277A"/>
    <w:rsid w:val="003F31E6"/>
    <w:rsid w:val="003F32FE"/>
    <w:rsid w:val="003F40F9"/>
    <w:rsid w:val="003F46B1"/>
    <w:rsid w:val="003F4C40"/>
    <w:rsid w:val="003F52FE"/>
    <w:rsid w:val="003F580D"/>
    <w:rsid w:val="003F61D7"/>
    <w:rsid w:val="00401ECB"/>
    <w:rsid w:val="00401F3A"/>
    <w:rsid w:val="004024F2"/>
    <w:rsid w:val="0040272E"/>
    <w:rsid w:val="00402EA0"/>
    <w:rsid w:val="00404196"/>
    <w:rsid w:val="004041C9"/>
    <w:rsid w:val="00404615"/>
    <w:rsid w:val="004079CC"/>
    <w:rsid w:val="004106A7"/>
    <w:rsid w:val="004108D9"/>
    <w:rsid w:val="00411174"/>
    <w:rsid w:val="00412823"/>
    <w:rsid w:val="0041382E"/>
    <w:rsid w:val="0041385F"/>
    <w:rsid w:val="00413D00"/>
    <w:rsid w:val="00414410"/>
    <w:rsid w:val="00414992"/>
    <w:rsid w:val="004149A1"/>
    <w:rsid w:val="004153ED"/>
    <w:rsid w:val="00415B87"/>
    <w:rsid w:val="00416ED0"/>
    <w:rsid w:val="004175B0"/>
    <w:rsid w:val="00421C9B"/>
    <w:rsid w:val="00421ED6"/>
    <w:rsid w:val="00426041"/>
    <w:rsid w:val="00426CBC"/>
    <w:rsid w:val="0043002F"/>
    <w:rsid w:val="004303B3"/>
    <w:rsid w:val="00430927"/>
    <w:rsid w:val="00430E35"/>
    <w:rsid w:val="0043308A"/>
    <w:rsid w:val="00433113"/>
    <w:rsid w:val="0043449C"/>
    <w:rsid w:val="00435D6C"/>
    <w:rsid w:val="00436036"/>
    <w:rsid w:val="0043673C"/>
    <w:rsid w:val="00437DA0"/>
    <w:rsid w:val="004412CE"/>
    <w:rsid w:val="00442603"/>
    <w:rsid w:val="0044335F"/>
    <w:rsid w:val="0044374B"/>
    <w:rsid w:val="004440FE"/>
    <w:rsid w:val="00444898"/>
    <w:rsid w:val="00444DED"/>
    <w:rsid w:val="004451D0"/>
    <w:rsid w:val="004453E6"/>
    <w:rsid w:val="00445E88"/>
    <w:rsid w:val="00446442"/>
    <w:rsid w:val="00447705"/>
    <w:rsid w:val="0044779E"/>
    <w:rsid w:val="00447FF9"/>
    <w:rsid w:val="00450F19"/>
    <w:rsid w:val="00452139"/>
    <w:rsid w:val="00453254"/>
    <w:rsid w:val="00453451"/>
    <w:rsid w:val="0045366F"/>
    <w:rsid w:val="00453F4D"/>
    <w:rsid w:val="00454E59"/>
    <w:rsid w:val="00455D49"/>
    <w:rsid w:val="00455DF1"/>
    <w:rsid w:val="00460877"/>
    <w:rsid w:val="00460F22"/>
    <w:rsid w:val="00461254"/>
    <w:rsid w:val="00461AED"/>
    <w:rsid w:val="004629B2"/>
    <w:rsid w:val="0046446A"/>
    <w:rsid w:val="004645D0"/>
    <w:rsid w:val="00464A97"/>
    <w:rsid w:val="00464FA6"/>
    <w:rsid w:val="004651E5"/>
    <w:rsid w:val="00465465"/>
    <w:rsid w:val="00466C27"/>
    <w:rsid w:val="00466C43"/>
    <w:rsid w:val="004676E4"/>
    <w:rsid w:val="0046796E"/>
    <w:rsid w:val="004707EC"/>
    <w:rsid w:val="00470F11"/>
    <w:rsid w:val="004716FE"/>
    <w:rsid w:val="0047173F"/>
    <w:rsid w:val="004720EA"/>
    <w:rsid w:val="004722FE"/>
    <w:rsid w:val="00472A2C"/>
    <w:rsid w:val="004739B2"/>
    <w:rsid w:val="00473C24"/>
    <w:rsid w:val="00474178"/>
    <w:rsid w:val="0047530A"/>
    <w:rsid w:val="004761F8"/>
    <w:rsid w:val="0047624F"/>
    <w:rsid w:val="00476551"/>
    <w:rsid w:val="00476764"/>
    <w:rsid w:val="00477506"/>
    <w:rsid w:val="004776A2"/>
    <w:rsid w:val="00477994"/>
    <w:rsid w:val="0048034F"/>
    <w:rsid w:val="00480D0C"/>
    <w:rsid w:val="00480ED0"/>
    <w:rsid w:val="004814DE"/>
    <w:rsid w:val="00481CB0"/>
    <w:rsid w:val="00482CC2"/>
    <w:rsid w:val="004835E4"/>
    <w:rsid w:val="0048481D"/>
    <w:rsid w:val="00484B5C"/>
    <w:rsid w:val="00484CF0"/>
    <w:rsid w:val="004856F7"/>
    <w:rsid w:val="004858BF"/>
    <w:rsid w:val="00486C77"/>
    <w:rsid w:val="00487169"/>
    <w:rsid w:val="00487EBB"/>
    <w:rsid w:val="00490284"/>
    <w:rsid w:val="0049042D"/>
    <w:rsid w:val="00490539"/>
    <w:rsid w:val="004907EE"/>
    <w:rsid w:val="004910C2"/>
    <w:rsid w:val="00491342"/>
    <w:rsid w:val="00491B25"/>
    <w:rsid w:val="00491FCB"/>
    <w:rsid w:val="004925DF"/>
    <w:rsid w:val="0049261E"/>
    <w:rsid w:val="004929D1"/>
    <w:rsid w:val="004939CA"/>
    <w:rsid w:val="00497627"/>
    <w:rsid w:val="00497D5C"/>
    <w:rsid w:val="004A0025"/>
    <w:rsid w:val="004A11E1"/>
    <w:rsid w:val="004A1C66"/>
    <w:rsid w:val="004A243A"/>
    <w:rsid w:val="004A2756"/>
    <w:rsid w:val="004A2D4F"/>
    <w:rsid w:val="004A3CDA"/>
    <w:rsid w:val="004A43DB"/>
    <w:rsid w:val="004A49CD"/>
    <w:rsid w:val="004A4AED"/>
    <w:rsid w:val="004A5659"/>
    <w:rsid w:val="004A58D1"/>
    <w:rsid w:val="004A5E88"/>
    <w:rsid w:val="004A65C0"/>
    <w:rsid w:val="004A6C11"/>
    <w:rsid w:val="004B07AF"/>
    <w:rsid w:val="004B1BA9"/>
    <w:rsid w:val="004B1E66"/>
    <w:rsid w:val="004B25F5"/>
    <w:rsid w:val="004B3028"/>
    <w:rsid w:val="004B4001"/>
    <w:rsid w:val="004B4B39"/>
    <w:rsid w:val="004B4F6D"/>
    <w:rsid w:val="004B4FB9"/>
    <w:rsid w:val="004B6EA9"/>
    <w:rsid w:val="004B7272"/>
    <w:rsid w:val="004B735F"/>
    <w:rsid w:val="004B77FF"/>
    <w:rsid w:val="004C0F0C"/>
    <w:rsid w:val="004C1242"/>
    <w:rsid w:val="004C12D2"/>
    <w:rsid w:val="004C1C90"/>
    <w:rsid w:val="004C38D6"/>
    <w:rsid w:val="004C49FA"/>
    <w:rsid w:val="004C4C9B"/>
    <w:rsid w:val="004C51CB"/>
    <w:rsid w:val="004C715E"/>
    <w:rsid w:val="004C7C47"/>
    <w:rsid w:val="004D0388"/>
    <w:rsid w:val="004D0478"/>
    <w:rsid w:val="004D0A93"/>
    <w:rsid w:val="004D1250"/>
    <w:rsid w:val="004D1414"/>
    <w:rsid w:val="004D20F5"/>
    <w:rsid w:val="004D2EC3"/>
    <w:rsid w:val="004D34DD"/>
    <w:rsid w:val="004D382B"/>
    <w:rsid w:val="004D3B10"/>
    <w:rsid w:val="004D4F53"/>
    <w:rsid w:val="004D5F3E"/>
    <w:rsid w:val="004D6E8F"/>
    <w:rsid w:val="004D73A7"/>
    <w:rsid w:val="004D7BA3"/>
    <w:rsid w:val="004E17BA"/>
    <w:rsid w:val="004E2439"/>
    <w:rsid w:val="004E3B45"/>
    <w:rsid w:val="004E3C6A"/>
    <w:rsid w:val="004E645B"/>
    <w:rsid w:val="004E6AF7"/>
    <w:rsid w:val="004F0EEA"/>
    <w:rsid w:val="004F1976"/>
    <w:rsid w:val="004F20D7"/>
    <w:rsid w:val="004F23A8"/>
    <w:rsid w:val="004F3AC9"/>
    <w:rsid w:val="004F3E60"/>
    <w:rsid w:val="004F41B3"/>
    <w:rsid w:val="004F45C3"/>
    <w:rsid w:val="004F46F0"/>
    <w:rsid w:val="004F4F78"/>
    <w:rsid w:val="004F55EC"/>
    <w:rsid w:val="004F64C1"/>
    <w:rsid w:val="004F6903"/>
    <w:rsid w:val="00500753"/>
    <w:rsid w:val="005012FC"/>
    <w:rsid w:val="005013A2"/>
    <w:rsid w:val="0050227A"/>
    <w:rsid w:val="005027E9"/>
    <w:rsid w:val="00502885"/>
    <w:rsid w:val="0050386F"/>
    <w:rsid w:val="00504709"/>
    <w:rsid w:val="005059A6"/>
    <w:rsid w:val="00505B87"/>
    <w:rsid w:val="00507959"/>
    <w:rsid w:val="00507BAE"/>
    <w:rsid w:val="00510205"/>
    <w:rsid w:val="00510526"/>
    <w:rsid w:val="00510823"/>
    <w:rsid w:val="00510B1C"/>
    <w:rsid w:val="0051208D"/>
    <w:rsid w:val="00512FB1"/>
    <w:rsid w:val="005142C9"/>
    <w:rsid w:val="00514531"/>
    <w:rsid w:val="005152A4"/>
    <w:rsid w:val="00515789"/>
    <w:rsid w:val="00516DA1"/>
    <w:rsid w:val="005201F1"/>
    <w:rsid w:val="00520ACC"/>
    <w:rsid w:val="00520B0B"/>
    <w:rsid w:val="00520DB0"/>
    <w:rsid w:val="005212D4"/>
    <w:rsid w:val="005212DC"/>
    <w:rsid w:val="0052145D"/>
    <w:rsid w:val="00523EAC"/>
    <w:rsid w:val="0052415B"/>
    <w:rsid w:val="00524AF2"/>
    <w:rsid w:val="005266CB"/>
    <w:rsid w:val="00527342"/>
    <w:rsid w:val="005278A2"/>
    <w:rsid w:val="005278DA"/>
    <w:rsid w:val="00527FBD"/>
    <w:rsid w:val="00527FBE"/>
    <w:rsid w:val="005300C9"/>
    <w:rsid w:val="005303CB"/>
    <w:rsid w:val="0053069A"/>
    <w:rsid w:val="005308B0"/>
    <w:rsid w:val="005315BB"/>
    <w:rsid w:val="00533CBF"/>
    <w:rsid w:val="0053444E"/>
    <w:rsid w:val="00534CE2"/>
    <w:rsid w:val="00534DA6"/>
    <w:rsid w:val="0053510C"/>
    <w:rsid w:val="00535339"/>
    <w:rsid w:val="005362B4"/>
    <w:rsid w:val="0053633A"/>
    <w:rsid w:val="005369FC"/>
    <w:rsid w:val="0053720E"/>
    <w:rsid w:val="005373C3"/>
    <w:rsid w:val="005400DC"/>
    <w:rsid w:val="00540C57"/>
    <w:rsid w:val="00542434"/>
    <w:rsid w:val="00542CCA"/>
    <w:rsid w:val="0054309D"/>
    <w:rsid w:val="00543141"/>
    <w:rsid w:val="005436F3"/>
    <w:rsid w:val="00543E57"/>
    <w:rsid w:val="00544082"/>
    <w:rsid w:val="00544451"/>
    <w:rsid w:val="005449D5"/>
    <w:rsid w:val="00544A6C"/>
    <w:rsid w:val="00544CC2"/>
    <w:rsid w:val="005450C7"/>
    <w:rsid w:val="00545396"/>
    <w:rsid w:val="005466A7"/>
    <w:rsid w:val="00547E55"/>
    <w:rsid w:val="00551427"/>
    <w:rsid w:val="00551C0A"/>
    <w:rsid w:val="00551E41"/>
    <w:rsid w:val="005532BD"/>
    <w:rsid w:val="00553481"/>
    <w:rsid w:val="00553D14"/>
    <w:rsid w:val="00554430"/>
    <w:rsid w:val="0055650D"/>
    <w:rsid w:val="0055740A"/>
    <w:rsid w:val="00560551"/>
    <w:rsid w:val="00560C1D"/>
    <w:rsid w:val="005616BB"/>
    <w:rsid w:val="00561D8C"/>
    <w:rsid w:val="00561FE9"/>
    <w:rsid w:val="005625AE"/>
    <w:rsid w:val="00562804"/>
    <w:rsid w:val="00564F46"/>
    <w:rsid w:val="00565828"/>
    <w:rsid w:val="005659B2"/>
    <w:rsid w:val="005661FD"/>
    <w:rsid w:val="00566CB6"/>
    <w:rsid w:val="00566F54"/>
    <w:rsid w:val="00567077"/>
    <w:rsid w:val="00567AAC"/>
    <w:rsid w:val="00570101"/>
    <w:rsid w:val="00570B5D"/>
    <w:rsid w:val="00570E1D"/>
    <w:rsid w:val="00571C2C"/>
    <w:rsid w:val="00572545"/>
    <w:rsid w:val="00572A2F"/>
    <w:rsid w:val="00572C28"/>
    <w:rsid w:val="00572D91"/>
    <w:rsid w:val="00574893"/>
    <w:rsid w:val="00574A2E"/>
    <w:rsid w:val="00575E03"/>
    <w:rsid w:val="00576A7C"/>
    <w:rsid w:val="00576B9E"/>
    <w:rsid w:val="00577555"/>
    <w:rsid w:val="005775A5"/>
    <w:rsid w:val="0057778D"/>
    <w:rsid w:val="00577DAB"/>
    <w:rsid w:val="005803F4"/>
    <w:rsid w:val="005803FA"/>
    <w:rsid w:val="00581ABA"/>
    <w:rsid w:val="00581E78"/>
    <w:rsid w:val="005821D1"/>
    <w:rsid w:val="005839FA"/>
    <w:rsid w:val="00583A5E"/>
    <w:rsid w:val="0058555A"/>
    <w:rsid w:val="00587BF7"/>
    <w:rsid w:val="005900ED"/>
    <w:rsid w:val="0059032F"/>
    <w:rsid w:val="00590CD8"/>
    <w:rsid w:val="00593310"/>
    <w:rsid w:val="005935C1"/>
    <w:rsid w:val="0059440A"/>
    <w:rsid w:val="00595C4D"/>
    <w:rsid w:val="00596453"/>
    <w:rsid w:val="0059742D"/>
    <w:rsid w:val="00597498"/>
    <w:rsid w:val="0059767A"/>
    <w:rsid w:val="00597A5A"/>
    <w:rsid w:val="005A0EB9"/>
    <w:rsid w:val="005A1F05"/>
    <w:rsid w:val="005A2E37"/>
    <w:rsid w:val="005A3505"/>
    <w:rsid w:val="005A4B7D"/>
    <w:rsid w:val="005A4D2A"/>
    <w:rsid w:val="005A6007"/>
    <w:rsid w:val="005A6752"/>
    <w:rsid w:val="005A6DE4"/>
    <w:rsid w:val="005A7236"/>
    <w:rsid w:val="005A7DF5"/>
    <w:rsid w:val="005B08B3"/>
    <w:rsid w:val="005B0F07"/>
    <w:rsid w:val="005B16D7"/>
    <w:rsid w:val="005B1722"/>
    <w:rsid w:val="005B1B26"/>
    <w:rsid w:val="005B1BB5"/>
    <w:rsid w:val="005B2156"/>
    <w:rsid w:val="005B27D1"/>
    <w:rsid w:val="005B3AC2"/>
    <w:rsid w:val="005B3DCC"/>
    <w:rsid w:val="005B4027"/>
    <w:rsid w:val="005B62FA"/>
    <w:rsid w:val="005B6576"/>
    <w:rsid w:val="005B6DB4"/>
    <w:rsid w:val="005B7000"/>
    <w:rsid w:val="005C09F1"/>
    <w:rsid w:val="005C1CF3"/>
    <w:rsid w:val="005C1D7C"/>
    <w:rsid w:val="005C27DE"/>
    <w:rsid w:val="005C37A8"/>
    <w:rsid w:val="005C3B0D"/>
    <w:rsid w:val="005C4B2D"/>
    <w:rsid w:val="005C56DE"/>
    <w:rsid w:val="005C5BC2"/>
    <w:rsid w:val="005C60F8"/>
    <w:rsid w:val="005C6C75"/>
    <w:rsid w:val="005C72E9"/>
    <w:rsid w:val="005C730F"/>
    <w:rsid w:val="005C79F4"/>
    <w:rsid w:val="005C7D63"/>
    <w:rsid w:val="005D0660"/>
    <w:rsid w:val="005D06E7"/>
    <w:rsid w:val="005D38CB"/>
    <w:rsid w:val="005D4D03"/>
    <w:rsid w:val="005D5292"/>
    <w:rsid w:val="005D5470"/>
    <w:rsid w:val="005D637B"/>
    <w:rsid w:val="005D6C7B"/>
    <w:rsid w:val="005D74B8"/>
    <w:rsid w:val="005E14F6"/>
    <w:rsid w:val="005E162C"/>
    <w:rsid w:val="005E26A1"/>
    <w:rsid w:val="005E2D33"/>
    <w:rsid w:val="005E3D2C"/>
    <w:rsid w:val="005E494F"/>
    <w:rsid w:val="005E4DEC"/>
    <w:rsid w:val="005E5312"/>
    <w:rsid w:val="005E588E"/>
    <w:rsid w:val="005E5F0F"/>
    <w:rsid w:val="005E6A52"/>
    <w:rsid w:val="005F0E22"/>
    <w:rsid w:val="005F15EA"/>
    <w:rsid w:val="005F1604"/>
    <w:rsid w:val="005F24F4"/>
    <w:rsid w:val="005F2903"/>
    <w:rsid w:val="005F31D7"/>
    <w:rsid w:val="005F3AA3"/>
    <w:rsid w:val="005F537F"/>
    <w:rsid w:val="005F7D07"/>
    <w:rsid w:val="005F7F0E"/>
    <w:rsid w:val="0060020D"/>
    <w:rsid w:val="006012D4"/>
    <w:rsid w:val="00602794"/>
    <w:rsid w:val="00604045"/>
    <w:rsid w:val="00604135"/>
    <w:rsid w:val="006058CB"/>
    <w:rsid w:val="0060650C"/>
    <w:rsid w:val="00606A32"/>
    <w:rsid w:val="0060733C"/>
    <w:rsid w:val="00607AE7"/>
    <w:rsid w:val="00610268"/>
    <w:rsid w:val="0061140B"/>
    <w:rsid w:val="00612945"/>
    <w:rsid w:val="00612DC2"/>
    <w:rsid w:val="00612DF2"/>
    <w:rsid w:val="00613453"/>
    <w:rsid w:val="00613CCF"/>
    <w:rsid w:val="00613EA8"/>
    <w:rsid w:val="00614271"/>
    <w:rsid w:val="0061470B"/>
    <w:rsid w:val="0061553E"/>
    <w:rsid w:val="0061636B"/>
    <w:rsid w:val="00616AE1"/>
    <w:rsid w:val="00617F6B"/>
    <w:rsid w:val="0062048C"/>
    <w:rsid w:val="00620561"/>
    <w:rsid w:val="0062067C"/>
    <w:rsid w:val="006214AD"/>
    <w:rsid w:val="00622E66"/>
    <w:rsid w:val="0062346A"/>
    <w:rsid w:val="006235C4"/>
    <w:rsid w:val="00624A82"/>
    <w:rsid w:val="00625592"/>
    <w:rsid w:val="00625863"/>
    <w:rsid w:val="00625F67"/>
    <w:rsid w:val="006260E5"/>
    <w:rsid w:val="006263FF"/>
    <w:rsid w:val="00627B69"/>
    <w:rsid w:val="0063129D"/>
    <w:rsid w:val="006316F1"/>
    <w:rsid w:val="006324A1"/>
    <w:rsid w:val="00633754"/>
    <w:rsid w:val="00634BCD"/>
    <w:rsid w:val="00634D59"/>
    <w:rsid w:val="00635E85"/>
    <w:rsid w:val="00636406"/>
    <w:rsid w:val="00637091"/>
    <w:rsid w:val="006371FF"/>
    <w:rsid w:val="0064065F"/>
    <w:rsid w:val="00641C39"/>
    <w:rsid w:val="00642014"/>
    <w:rsid w:val="0064299A"/>
    <w:rsid w:val="00642F52"/>
    <w:rsid w:val="00643716"/>
    <w:rsid w:val="00644A75"/>
    <w:rsid w:val="006472A0"/>
    <w:rsid w:val="00650DAE"/>
    <w:rsid w:val="00651512"/>
    <w:rsid w:val="006521F3"/>
    <w:rsid w:val="00653E20"/>
    <w:rsid w:val="00654956"/>
    <w:rsid w:val="00654DE7"/>
    <w:rsid w:val="0065533C"/>
    <w:rsid w:val="00656A9D"/>
    <w:rsid w:val="00656F5E"/>
    <w:rsid w:val="00661486"/>
    <w:rsid w:val="00662CBC"/>
    <w:rsid w:val="006661F1"/>
    <w:rsid w:val="006661F5"/>
    <w:rsid w:val="00666AAB"/>
    <w:rsid w:val="0067038D"/>
    <w:rsid w:val="0067060C"/>
    <w:rsid w:val="00671A6A"/>
    <w:rsid w:val="006727C3"/>
    <w:rsid w:val="006729C0"/>
    <w:rsid w:val="00672EF8"/>
    <w:rsid w:val="00673DE0"/>
    <w:rsid w:val="00673F0C"/>
    <w:rsid w:val="00673F58"/>
    <w:rsid w:val="006742A1"/>
    <w:rsid w:val="00675DB3"/>
    <w:rsid w:val="00675E8A"/>
    <w:rsid w:val="00676A38"/>
    <w:rsid w:val="00680098"/>
    <w:rsid w:val="00680957"/>
    <w:rsid w:val="00682148"/>
    <w:rsid w:val="00686325"/>
    <w:rsid w:val="00686EC4"/>
    <w:rsid w:val="00687063"/>
    <w:rsid w:val="00687463"/>
    <w:rsid w:val="00687B92"/>
    <w:rsid w:val="00690D7A"/>
    <w:rsid w:val="00691425"/>
    <w:rsid w:val="006941F5"/>
    <w:rsid w:val="00695416"/>
    <w:rsid w:val="00695E17"/>
    <w:rsid w:val="00696763"/>
    <w:rsid w:val="0069734A"/>
    <w:rsid w:val="00697896"/>
    <w:rsid w:val="006A1349"/>
    <w:rsid w:val="006A139A"/>
    <w:rsid w:val="006A1939"/>
    <w:rsid w:val="006A1AA8"/>
    <w:rsid w:val="006A2DBA"/>
    <w:rsid w:val="006A2EC3"/>
    <w:rsid w:val="006A303A"/>
    <w:rsid w:val="006A414E"/>
    <w:rsid w:val="006A45A4"/>
    <w:rsid w:val="006A4CF2"/>
    <w:rsid w:val="006A6BB4"/>
    <w:rsid w:val="006B0367"/>
    <w:rsid w:val="006B04AC"/>
    <w:rsid w:val="006B147C"/>
    <w:rsid w:val="006B202A"/>
    <w:rsid w:val="006B296E"/>
    <w:rsid w:val="006B4802"/>
    <w:rsid w:val="006B4A11"/>
    <w:rsid w:val="006B5097"/>
    <w:rsid w:val="006B5516"/>
    <w:rsid w:val="006B5CD7"/>
    <w:rsid w:val="006B5D36"/>
    <w:rsid w:val="006B5E1C"/>
    <w:rsid w:val="006B65F9"/>
    <w:rsid w:val="006B6B45"/>
    <w:rsid w:val="006B75D1"/>
    <w:rsid w:val="006B7A09"/>
    <w:rsid w:val="006C07AB"/>
    <w:rsid w:val="006C42CE"/>
    <w:rsid w:val="006C5486"/>
    <w:rsid w:val="006C592D"/>
    <w:rsid w:val="006C5B7B"/>
    <w:rsid w:val="006C5F25"/>
    <w:rsid w:val="006C74B3"/>
    <w:rsid w:val="006D1D8F"/>
    <w:rsid w:val="006D302F"/>
    <w:rsid w:val="006D3791"/>
    <w:rsid w:val="006D3801"/>
    <w:rsid w:val="006D3D4A"/>
    <w:rsid w:val="006D3EDB"/>
    <w:rsid w:val="006D465F"/>
    <w:rsid w:val="006D50AA"/>
    <w:rsid w:val="006D67B8"/>
    <w:rsid w:val="006D7021"/>
    <w:rsid w:val="006D7209"/>
    <w:rsid w:val="006D7A98"/>
    <w:rsid w:val="006E11C9"/>
    <w:rsid w:val="006E19AC"/>
    <w:rsid w:val="006E1DB5"/>
    <w:rsid w:val="006E31AE"/>
    <w:rsid w:val="006E4984"/>
    <w:rsid w:val="006E5E71"/>
    <w:rsid w:val="006E6031"/>
    <w:rsid w:val="006E61F6"/>
    <w:rsid w:val="006E6C99"/>
    <w:rsid w:val="006F09E9"/>
    <w:rsid w:val="006F12AB"/>
    <w:rsid w:val="006F2895"/>
    <w:rsid w:val="006F32BF"/>
    <w:rsid w:val="006F3311"/>
    <w:rsid w:val="006F38F6"/>
    <w:rsid w:val="006F3989"/>
    <w:rsid w:val="006F4219"/>
    <w:rsid w:val="006F5694"/>
    <w:rsid w:val="006F575A"/>
    <w:rsid w:val="00700A73"/>
    <w:rsid w:val="007015E9"/>
    <w:rsid w:val="00701999"/>
    <w:rsid w:val="00702050"/>
    <w:rsid w:val="00702A10"/>
    <w:rsid w:val="00702F25"/>
    <w:rsid w:val="00703BC1"/>
    <w:rsid w:val="00704993"/>
    <w:rsid w:val="00704E19"/>
    <w:rsid w:val="00704ED8"/>
    <w:rsid w:val="0070601C"/>
    <w:rsid w:val="00707008"/>
    <w:rsid w:val="00707F81"/>
    <w:rsid w:val="00710993"/>
    <w:rsid w:val="00712884"/>
    <w:rsid w:val="00712CDA"/>
    <w:rsid w:val="00713C6D"/>
    <w:rsid w:val="00715090"/>
    <w:rsid w:val="00715379"/>
    <w:rsid w:val="00715606"/>
    <w:rsid w:val="0071587A"/>
    <w:rsid w:val="007159EB"/>
    <w:rsid w:val="00715DA9"/>
    <w:rsid w:val="007160E0"/>
    <w:rsid w:val="00716E3F"/>
    <w:rsid w:val="00717083"/>
    <w:rsid w:val="007176DE"/>
    <w:rsid w:val="00717DE7"/>
    <w:rsid w:val="00720629"/>
    <w:rsid w:val="007207AD"/>
    <w:rsid w:val="00720B16"/>
    <w:rsid w:val="007219C5"/>
    <w:rsid w:val="007223FC"/>
    <w:rsid w:val="00723E5F"/>
    <w:rsid w:val="00723FBC"/>
    <w:rsid w:val="007250A4"/>
    <w:rsid w:val="00725F23"/>
    <w:rsid w:val="007261C4"/>
    <w:rsid w:val="007267EB"/>
    <w:rsid w:val="0072737A"/>
    <w:rsid w:val="00730159"/>
    <w:rsid w:val="00730C0D"/>
    <w:rsid w:val="00730DA4"/>
    <w:rsid w:val="0073129C"/>
    <w:rsid w:val="00731E0C"/>
    <w:rsid w:val="007339DB"/>
    <w:rsid w:val="00734F65"/>
    <w:rsid w:val="007356FC"/>
    <w:rsid w:val="00735CE3"/>
    <w:rsid w:val="0073608D"/>
    <w:rsid w:val="00736DAE"/>
    <w:rsid w:val="00740180"/>
    <w:rsid w:val="0074099C"/>
    <w:rsid w:val="0074101E"/>
    <w:rsid w:val="0074150A"/>
    <w:rsid w:val="00741FEC"/>
    <w:rsid w:val="007433D3"/>
    <w:rsid w:val="00743F1B"/>
    <w:rsid w:val="007441F6"/>
    <w:rsid w:val="0074430F"/>
    <w:rsid w:val="007448B9"/>
    <w:rsid w:val="00746100"/>
    <w:rsid w:val="007468E9"/>
    <w:rsid w:val="00746B9B"/>
    <w:rsid w:val="00746BED"/>
    <w:rsid w:val="00747D71"/>
    <w:rsid w:val="00750288"/>
    <w:rsid w:val="007508D6"/>
    <w:rsid w:val="00750C83"/>
    <w:rsid w:val="007512E0"/>
    <w:rsid w:val="00751BF1"/>
    <w:rsid w:val="007537F1"/>
    <w:rsid w:val="007538D7"/>
    <w:rsid w:val="00755016"/>
    <w:rsid w:val="007567FF"/>
    <w:rsid w:val="00756DA9"/>
    <w:rsid w:val="0075794D"/>
    <w:rsid w:val="00760537"/>
    <w:rsid w:val="007608C8"/>
    <w:rsid w:val="00761696"/>
    <w:rsid w:val="00761834"/>
    <w:rsid w:val="00761D56"/>
    <w:rsid w:val="00761E14"/>
    <w:rsid w:val="007620D8"/>
    <w:rsid w:val="007631A8"/>
    <w:rsid w:val="0076420A"/>
    <w:rsid w:val="00764576"/>
    <w:rsid w:val="0076492F"/>
    <w:rsid w:val="00764D0F"/>
    <w:rsid w:val="00764ED5"/>
    <w:rsid w:val="007658F8"/>
    <w:rsid w:val="007665AE"/>
    <w:rsid w:val="007665E7"/>
    <w:rsid w:val="0076696B"/>
    <w:rsid w:val="00767076"/>
    <w:rsid w:val="00770DFC"/>
    <w:rsid w:val="00771845"/>
    <w:rsid w:val="0077236E"/>
    <w:rsid w:val="00773845"/>
    <w:rsid w:val="00775282"/>
    <w:rsid w:val="0077605D"/>
    <w:rsid w:val="007768BA"/>
    <w:rsid w:val="007801FF"/>
    <w:rsid w:val="00780896"/>
    <w:rsid w:val="00780E48"/>
    <w:rsid w:val="00780FF2"/>
    <w:rsid w:val="007815A1"/>
    <w:rsid w:val="00783BF6"/>
    <w:rsid w:val="0078501F"/>
    <w:rsid w:val="00785229"/>
    <w:rsid w:val="00787AD0"/>
    <w:rsid w:val="0079186B"/>
    <w:rsid w:val="007919EE"/>
    <w:rsid w:val="007921AF"/>
    <w:rsid w:val="00792775"/>
    <w:rsid w:val="0079299C"/>
    <w:rsid w:val="00792F10"/>
    <w:rsid w:val="00793079"/>
    <w:rsid w:val="00793312"/>
    <w:rsid w:val="00793932"/>
    <w:rsid w:val="00793A91"/>
    <w:rsid w:val="00795191"/>
    <w:rsid w:val="00796A9E"/>
    <w:rsid w:val="00796F17"/>
    <w:rsid w:val="00797087"/>
    <w:rsid w:val="00797687"/>
    <w:rsid w:val="007A0BE3"/>
    <w:rsid w:val="007A0D7C"/>
    <w:rsid w:val="007A0D88"/>
    <w:rsid w:val="007A25AF"/>
    <w:rsid w:val="007A30A5"/>
    <w:rsid w:val="007A5FB9"/>
    <w:rsid w:val="007A601B"/>
    <w:rsid w:val="007A6073"/>
    <w:rsid w:val="007A70C6"/>
    <w:rsid w:val="007B0E23"/>
    <w:rsid w:val="007B0FA2"/>
    <w:rsid w:val="007B11D0"/>
    <w:rsid w:val="007B1CB5"/>
    <w:rsid w:val="007B27E9"/>
    <w:rsid w:val="007B2987"/>
    <w:rsid w:val="007B56C8"/>
    <w:rsid w:val="007B586D"/>
    <w:rsid w:val="007B661E"/>
    <w:rsid w:val="007B6A8F"/>
    <w:rsid w:val="007B70D3"/>
    <w:rsid w:val="007C0643"/>
    <w:rsid w:val="007C1116"/>
    <w:rsid w:val="007C1D7C"/>
    <w:rsid w:val="007C3AA6"/>
    <w:rsid w:val="007C4EF2"/>
    <w:rsid w:val="007C55D4"/>
    <w:rsid w:val="007D093F"/>
    <w:rsid w:val="007D0BE8"/>
    <w:rsid w:val="007D1508"/>
    <w:rsid w:val="007D36CA"/>
    <w:rsid w:val="007D415B"/>
    <w:rsid w:val="007D4C02"/>
    <w:rsid w:val="007D5920"/>
    <w:rsid w:val="007D6731"/>
    <w:rsid w:val="007D6837"/>
    <w:rsid w:val="007D689F"/>
    <w:rsid w:val="007D7001"/>
    <w:rsid w:val="007D7101"/>
    <w:rsid w:val="007D782F"/>
    <w:rsid w:val="007D7E87"/>
    <w:rsid w:val="007E10DA"/>
    <w:rsid w:val="007E1ECC"/>
    <w:rsid w:val="007E205F"/>
    <w:rsid w:val="007E2A09"/>
    <w:rsid w:val="007E3E49"/>
    <w:rsid w:val="007E40DD"/>
    <w:rsid w:val="007E4D5F"/>
    <w:rsid w:val="007E7C73"/>
    <w:rsid w:val="007F0225"/>
    <w:rsid w:val="007F0AC8"/>
    <w:rsid w:val="007F0CB1"/>
    <w:rsid w:val="007F10CE"/>
    <w:rsid w:val="007F167C"/>
    <w:rsid w:val="007F2066"/>
    <w:rsid w:val="007F2962"/>
    <w:rsid w:val="007F2B93"/>
    <w:rsid w:val="007F2E40"/>
    <w:rsid w:val="007F3367"/>
    <w:rsid w:val="007F37A4"/>
    <w:rsid w:val="007F3924"/>
    <w:rsid w:val="007F3AEC"/>
    <w:rsid w:val="007F4005"/>
    <w:rsid w:val="007F4093"/>
    <w:rsid w:val="007F4EA3"/>
    <w:rsid w:val="007F64E9"/>
    <w:rsid w:val="007F6A85"/>
    <w:rsid w:val="007F6E58"/>
    <w:rsid w:val="007F7EFE"/>
    <w:rsid w:val="00800A2A"/>
    <w:rsid w:val="0080100B"/>
    <w:rsid w:val="00802421"/>
    <w:rsid w:val="00802684"/>
    <w:rsid w:val="00803598"/>
    <w:rsid w:val="00803820"/>
    <w:rsid w:val="00804380"/>
    <w:rsid w:val="00804490"/>
    <w:rsid w:val="008049F3"/>
    <w:rsid w:val="00804D8E"/>
    <w:rsid w:val="00806B2A"/>
    <w:rsid w:val="00807DC3"/>
    <w:rsid w:val="008100E5"/>
    <w:rsid w:val="00810DA4"/>
    <w:rsid w:val="00810F17"/>
    <w:rsid w:val="00811731"/>
    <w:rsid w:val="00811D3C"/>
    <w:rsid w:val="0081266C"/>
    <w:rsid w:val="00812D6B"/>
    <w:rsid w:val="0081309B"/>
    <w:rsid w:val="00813597"/>
    <w:rsid w:val="008138AD"/>
    <w:rsid w:val="00814A29"/>
    <w:rsid w:val="00816657"/>
    <w:rsid w:val="00817FEF"/>
    <w:rsid w:val="00820486"/>
    <w:rsid w:val="008207D6"/>
    <w:rsid w:val="00820999"/>
    <w:rsid w:val="00820F1F"/>
    <w:rsid w:val="008259B8"/>
    <w:rsid w:val="00825ADA"/>
    <w:rsid w:val="00825DEA"/>
    <w:rsid w:val="008279A8"/>
    <w:rsid w:val="00827E59"/>
    <w:rsid w:val="00827EA7"/>
    <w:rsid w:val="0083050A"/>
    <w:rsid w:val="00830547"/>
    <w:rsid w:val="00830D5E"/>
    <w:rsid w:val="0083160C"/>
    <w:rsid w:val="00832CEE"/>
    <w:rsid w:val="0083338A"/>
    <w:rsid w:val="00833410"/>
    <w:rsid w:val="00833923"/>
    <w:rsid w:val="00834CDA"/>
    <w:rsid w:val="00835C70"/>
    <w:rsid w:val="008362EF"/>
    <w:rsid w:val="008367C0"/>
    <w:rsid w:val="00836B0B"/>
    <w:rsid w:val="0083710E"/>
    <w:rsid w:val="0083734F"/>
    <w:rsid w:val="00837845"/>
    <w:rsid w:val="00840F68"/>
    <w:rsid w:val="008416BE"/>
    <w:rsid w:val="00841ACC"/>
    <w:rsid w:val="00842B7A"/>
    <w:rsid w:val="00843EBB"/>
    <w:rsid w:val="008443EB"/>
    <w:rsid w:val="00844E1C"/>
    <w:rsid w:val="00846D82"/>
    <w:rsid w:val="00850104"/>
    <w:rsid w:val="008510F2"/>
    <w:rsid w:val="00851593"/>
    <w:rsid w:val="00854456"/>
    <w:rsid w:val="00854727"/>
    <w:rsid w:val="00854DDC"/>
    <w:rsid w:val="00855674"/>
    <w:rsid w:val="00861AE4"/>
    <w:rsid w:val="00861E88"/>
    <w:rsid w:val="008623AA"/>
    <w:rsid w:val="0086291A"/>
    <w:rsid w:val="00862D4F"/>
    <w:rsid w:val="00865ACD"/>
    <w:rsid w:val="00867308"/>
    <w:rsid w:val="00867A01"/>
    <w:rsid w:val="0087024A"/>
    <w:rsid w:val="00871456"/>
    <w:rsid w:val="00872ABA"/>
    <w:rsid w:val="00872B47"/>
    <w:rsid w:val="00872FCE"/>
    <w:rsid w:val="0087358C"/>
    <w:rsid w:val="0087425F"/>
    <w:rsid w:val="00874EBD"/>
    <w:rsid w:val="00875DC4"/>
    <w:rsid w:val="008761FC"/>
    <w:rsid w:val="00876856"/>
    <w:rsid w:val="0087788E"/>
    <w:rsid w:val="00877D2F"/>
    <w:rsid w:val="008800C1"/>
    <w:rsid w:val="00880F0C"/>
    <w:rsid w:val="00881137"/>
    <w:rsid w:val="008829A2"/>
    <w:rsid w:val="00882AD1"/>
    <w:rsid w:val="00883A75"/>
    <w:rsid w:val="00883B8A"/>
    <w:rsid w:val="00883F46"/>
    <w:rsid w:val="00883F98"/>
    <w:rsid w:val="00884396"/>
    <w:rsid w:val="008843FC"/>
    <w:rsid w:val="0088463B"/>
    <w:rsid w:val="008861C5"/>
    <w:rsid w:val="008862BD"/>
    <w:rsid w:val="00886F17"/>
    <w:rsid w:val="008917E7"/>
    <w:rsid w:val="008919EC"/>
    <w:rsid w:val="00891BDF"/>
    <w:rsid w:val="00892508"/>
    <w:rsid w:val="00893970"/>
    <w:rsid w:val="00895BBE"/>
    <w:rsid w:val="008962E9"/>
    <w:rsid w:val="0089653C"/>
    <w:rsid w:val="0089774C"/>
    <w:rsid w:val="008A0DE6"/>
    <w:rsid w:val="008A1FF5"/>
    <w:rsid w:val="008A233D"/>
    <w:rsid w:val="008A237E"/>
    <w:rsid w:val="008A356F"/>
    <w:rsid w:val="008A37B9"/>
    <w:rsid w:val="008A447D"/>
    <w:rsid w:val="008A4AF5"/>
    <w:rsid w:val="008A4F12"/>
    <w:rsid w:val="008A53D6"/>
    <w:rsid w:val="008A62A5"/>
    <w:rsid w:val="008A7075"/>
    <w:rsid w:val="008A792B"/>
    <w:rsid w:val="008A7E2E"/>
    <w:rsid w:val="008B07A4"/>
    <w:rsid w:val="008B18AE"/>
    <w:rsid w:val="008B3124"/>
    <w:rsid w:val="008B3E56"/>
    <w:rsid w:val="008B577A"/>
    <w:rsid w:val="008B6744"/>
    <w:rsid w:val="008B71FF"/>
    <w:rsid w:val="008B72A5"/>
    <w:rsid w:val="008B7762"/>
    <w:rsid w:val="008C03E2"/>
    <w:rsid w:val="008C0421"/>
    <w:rsid w:val="008C0944"/>
    <w:rsid w:val="008C1918"/>
    <w:rsid w:val="008C1A51"/>
    <w:rsid w:val="008C2A4A"/>
    <w:rsid w:val="008C2F29"/>
    <w:rsid w:val="008C4272"/>
    <w:rsid w:val="008C4AD0"/>
    <w:rsid w:val="008C4B79"/>
    <w:rsid w:val="008C50D3"/>
    <w:rsid w:val="008C5E4E"/>
    <w:rsid w:val="008C5F9A"/>
    <w:rsid w:val="008C63CA"/>
    <w:rsid w:val="008C6740"/>
    <w:rsid w:val="008C6B30"/>
    <w:rsid w:val="008C7EEA"/>
    <w:rsid w:val="008D08E3"/>
    <w:rsid w:val="008D0BD7"/>
    <w:rsid w:val="008D3033"/>
    <w:rsid w:val="008D4055"/>
    <w:rsid w:val="008D493B"/>
    <w:rsid w:val="008D4A7C"/>
    <w:rsid w:val="008D51DA"/>
    <w:rsid w:val="008D524B"/>
    <w:rsid w:val="008D53A9"/>
    <w:rsid w:val="008D5615"/>
    <w:rsid w:val="008D5F0D"/>
    <w:rsid w:val="008D60E6"/>
    <w:rsid w:val="008D683A"/>
    <w:rsid w:val="008D7B17"/>
    <w:rsid w:val="008E0359"/>
    <w:rsid w:val="008E039D"/>
    <w:rsid w:val="008E0805"/>
    <w:rsid w:val="008E0FFB"/>
    <w:rsid w:val="008E11F0"/>
    <w:rsid w:val="008E23D0"/>
    <w:rsid w:val="008E2B4D"/>
    <w:rsid w:val="008E3094"/>
    <w:rsid w:val="008E3295"/>
    <w:rsid w:val="008E3532"/>
    <w:rsid w:val="008E35F7"/>
    <w:rsid w:val="008E3F54"/>
    <w:rsid w:val="008E48EA"/>
    <w:rsid w:val="008E49E4"/>
    <w:rsid w:val="008E55EA"/>
    <w:rsid w:val="008E5926"/>
    <w:rsid w:val="008E7105"/>
    <w:rsid w:val="008E75C5"/>
    <w:rsid w:val="008E7604"/>
    <w:rsid w:val="008E7887"/>
    <w:rsid w:val="008E7E6E"/>
    <w:rsid w:val="008F1194"/>
    <w:rsid w:val="008F11E3"/>
    <w:rsid w:val="008F1615"/>
    <w:rsid w:val="008F1816"/>
    <w:rsid w:val="008F1871"/>
    <w:rsid w:val="008F1884"/>
    <w:rsid w:val="008F20FA"/>
    <w:rsid w:val="008F237A"/>
    <w:rsid w:val="008F2796"/>
    <w:rsid w:val="008F29A9"/>
    <w:rsid w:val="008F34D3"/>
    <w:rsid w:val="008F5F55"/>
    <w:rsid w:val="008F66A7"/>
    <w:rsid w:val="008F6A2F"/>
    <w:rsid w:val="008F6B5E"/>
    <w:rsid w:val="008F755E"/>
    <w:rsid w:val="008F79D0"/>
    <w:rsid w:val="009008B1"/>
    <w:rsid w:val="00901193"/>
    <w:rsid w:val="009014E6"/>
    <w:rsid w:val="00902015"/>
    <w:rsid w:val="009021EE"/>
    <w:rsid w:val="00902471"/>
    <w:rsid w:val="0090323F"/>
    <w:rsid w:val="00903531"/>
    <w:rsid w:val="00904A65"/>
    <w:rsid w:val="00905793"/>
    <w:rsid w:val="00905FE5"/>
    <w:rsid w:val="00906800"/>
    <w:rsid w:val="00907263"/>
    <w:rsid w:val="0090768C"/>
    <w:rsid w:val="0091019D"/>
    <w:rsid w:val="009103EE"/>
    <w:rsid w:val="009123F6"/>
    <w:rsid w:val="00912B28"/>
    <w:rsid w:val="00912B7F"/>
    <w:rsid w:val="009132C9"/>
    <w:rsid w:val="00913E2A"/>
    <w:rsid w:val="00913EF8"/>
    <w:rsid w:val="0091468D"/>
    <w:rsid w:val="0091475E"/>
    <w:rsid w:val="00915341"/>
    <w:rsid w:val="00916155"/>
    <w:rsid w:val="009163B6"/>
    <w:rsid w:val="00916B61"/>
    <w:rsid w:val="00916CDE"/>
    <w:rsid w:val="00917ED2"/>
    <w:rsid w:val="00917F42"/>
    <w:rsid w:val="0092089A"/>
    <w:rsid w:val="00920CD5"/>
    <w:rsid w:val="009217A9"/>
    <w:rsid w:val="0092287C"/>
    <w:rsid w:val="00922F1E"/>
    <w:rsid w:val="00922F29"/>
    <w:rsid w:val="009231E6"/>
    <w:rsid w:val="00924634"/>
    <w:rsid w:val="0092497B"/>
    <w:rsid w:val="00924ED9"/>
    <w:rsid w:val="009274FA"/>
    <w:rsid w:val="0093042C"/>
    <w:rsid w:val="00930453"/>
    <w:rsid w:val="00931316"/>
    <w:rsid w:val="00932982"/>
    <w:rsid w:val="00933086"/>
    <w:rsid w:val="00933E38"/>
    <w:rsid w:val="00934A0F"/>
    <w:rsid w:val="009367EB"/>
    <w:rsid w:val="00937ED6"/>
    <w:rsid w:val="009406E7"/>
    <w:rsid w:val="00940B04"/>
    <w:rsid w:val="00940EB0"/>
    <w:rsid w:val="00941E97"/>
    <w:rsid w:val="00942124"/>
    <w:rsid w:val="009433A0"/>
    <w:rsid w:val="00943948"/>
    <w:rsid w:val="00943CD4"/>
    <w:rsid w:val="00944AB3"/>
    <w:rsid w:val="00946893"/>
    <w:rsid w:val="00950141"/>
    <w:rsid w:val="0095074C"/>
    <w:rsid w:val="00950840"/>
    <w:rsid w:val="00950BCE"/>
    <w:rsid w:val="00950E4D"/>
    <w:rsid w:val="00950FC7"/>
    <w:rsid w:val="00953FB3"/>
    <w:rsid w:val="0095455D"/>
    <w:rsid w:val="0095482D"/>
    <w:rsid w:val="009563AA"/>
    <w:rsid w:val="0095738C"/>
    <w:rsid w:val="00957540"/>
    <w:rsid w:val="009623A4"/>
    <w:rsid w:val="00964724"/>
    <w:rsid w:val="00964C1A"/>
    <w:rsid w:val="00964E99"/>
    <w:rsid w:val="00965097"/>
    <w:rsid w:val="0096515A"/>
    <w:rsid w:val="00965C79"/>
    <w:rsid w:val="00965F24"/>
    <w:rsid w:val="00965F7C"/>
    <w:rsid w:val="00965FB3"/>
    <w:rsid w:val="00966601"/>
    <w:rsid w:val="00967094"/>
    <w:rsid w:val="0096765C"/>
    <w:rsid w:val="00970079"/>
    <w:rsid w:val="009700A9"/>
    <w:rsid w:val="00970819"/>
    <w:rsid w:val="00970A79"/>
    <w:rsid w:val="00971162"/>
    <w:rsid w:val="00971CD5"/>
    <w:rsid w:val="0097367A"/>
    <w:rsid w:val="00973C9C"/>
    <w:rsid w:val="009748A7"/>
    <w:rsid w:val="009750BB"/>
    <w:rsid w:val="009752BD"/>
    <w:rsid w:val="009758CF"/>
    <w:rsid w:val="009760D2"/>
    <w:rsid w:val="00976C8D"/>
    <w:rsid w:val="00977774"/>
    <w:rsid w:val="009779C3"/>
    <w:rsid w:val="0098031A"/>
    <w:rsid w:val="00982CA9"/>
    <w:rsid w:val="0098589D"/>
    <w:rsid w:val="0098672A"/>
    <w:rsid w:val="00986A0B"/>
    <w:rsid w:val="009875D0"/>
    <w:rsid w:val="00990141"/>
    <w:rsid w:val="00990D6F"/>
    <w:rsid w:val="0099157D"/>
    <w:rsid w:val="0099378B"/>
    <w:rsid w:val="00993A67"/>
    <w:rsid w:val="00994D7F"/>
    <w:rsid w:val="009962A0"/>
    <w:rsid w:val="0099644E"/>
    <w:rsid w:val="0099649C"/>
    <w:rsid w:val="00996F8C"/>
    <w:rsid w:val="009976EF"/>
    <w:rsid w:val="009A0627"/>
    <w:rsid w:val="009A2423"/>
    <w:rsid w:val="009A44CB"/>
    <w:rsid w:val="009A454D"/>
    <w:rsid w:val="009A472B"/>
    <w:rsid w:val="009A5C14"/>
    <w:rsid w:val="009A7763"/>
    <w:rsid w:val="009A7B95"/>
    <w:rsid w:val="009A7C59"/>
    <w:rsid w:val="009A7F14"/>
    <w:rsid w:val="009B05E8"/>
    <w:rsid w:val="009B05F1"/>
    <w:rsid w:val="009B126C"/>
    <w:rsid w:val="009B1466"/>
    <w:rsid w:val="009B24CF"/>
    <w:rsid w:val="009B2CF2"/>
    <w:rsid w:val="009B30DC"/>
    <w:rsid w:val="009B45E7"/>
    <w:rsid w:val="009B493A"/>
    <w:rsid w:val="009B4DE3"/>
    <w:rsid w:val="009B6612"/>
    <w:rsid w:val="009B6A55"/>
    <w:rsid w:val="009C0048"/>
    <w:rsid w:val="009C0B36"/>
    <w:rsid w:val="009C158C"/>
    <w:rsid w:val="009C196E"/>
    <w:rsid w:val="009C2E58"/>
    <w:rsid w:val="009C3B52"/>
    <w:rsid w:val="009C40BE"/>
    <w:rsid w:val="009C40DF"/>
    <w:rsid w:val="009C455F"/>
    <w:rsid w:val="009C4A6F"/>
    <w:rsid w:val="009C6025"/>
    <w:rsid w:val="009C76A3"/>
    <w:rsid w:val="009C781F"/>
    <w:rsid w:val="009C791B"/>
    <w:rsid w:val="009C7A08"/>
    <w:rsid w:val="009D02E1"/>
    <w:rsid w:val="009D0E4E"/>
    <w:rsid w:val="009D127D"/>
    <w:rsid w:val="009D18A0"/>
    <w:rsid w:val="009D1BEE"/>
    <w:rsid w:val="009D1EF0"/>
    <w:rsid w:val="009D2082"/>
    <w:rsid w:val="009D34D4"/>
    <w:rsid w:val="009D375C"/>
    <w:rsid w:val="009D3A40"/>
    <w:rsid w:val="009D478F"/>
    <w:rsid w:val="009D479C"/>
    <w:rsid w:val="009D4DC3"/>
    <w:rsid w:val="009D5125"/>
    <w:rsid w:val="009D5ED6"/>
    <w:rsid w:val="009D669B"/>
    <w:rsid w:val="009D69A8"/>
    <w:rsid w:val="009D6C7E"/>
    <w:rsid w:val="009D705F"/>
    <w:rsid w:val="009D73BF"/>
    <w:rsid w:val="009D7BE9"/>
    <w:rsid w:val="009D7BFB"/>
    <w:rsid w:val="009D7E79"/>
    <w:rsid w:val="009E095E"/>
    <w:rsid w:val="009E1028"/>
    <w:rsid w:val="009E1143"/>
    <w:rsid w:val="009E1E3D"/>
    <w:rsid w:val="009E2925"/>
    <w:rsid w:val="009E2993"/>
    <w:rsid w:val="009E3549"/>
    <w:rsid w:val="009E409E"/>
    <w:rsid w:val="009E4EC0"/>
    <w:rsid w:val="009E5732"/>
    <w:rsid w:val="009E63C4"/>
    <w:rsid w:val="009E7131"/>
    <w:rsid w:val="009F0065"/>
    <w:rsid w:val="009F0651"/>
    <w:rsid w:val="009F0908"/>
    <w:rsid w:val="009F160E"/>
    <w:rsid w:val="009F1BCB"/>
    <w:rsid w:val="009F2488"/>
    <w:rsid w:val="009F421F"/>
    <w:rsid w:val="009F62DB"/>
    <w:rsid w:val="009F669D"/>
    <w:rsid w:val="009F6E81"/>
    <w:rsid w:val="009F6FCA"/>
    <w:rsid w:val="009F7321"/>
    <w:rsid w:val="009F77B1"/>
    <w:rsid w:val="00A00194"/>
    <w:rsid w:val="00A003DD"/>
    <w:rsid w:val="00A00568"/>
    <w:rsid w:val="00A00FD1"/>
    <w:rsid w:val="00A02556"/>
    <w:rsid w:val="00A02BF2"/>
    <w:rsid w:val="00A031F9"/>
    <w:rsid w:val="00A0399F"/>
    <w:rsid w:val="00A0406C"/>
    <w:rsid w:val="00A05284"/>
    <w:rsid w:val="00A05A0B"/>
    <w:rsid w:val="00A05E0C"/>
    <w:rsid w:val="00A062A6"/>
    <w:rsid w:val="00A07512"/>
    <w:rsid w:val="00A075F3"/>
    <w:rsid w:val="00A121F0"/>
    <w:rsid w:val="00A12FE6"/>
    <w:rsid w:val="00A13F54"/>
    <w:rsid w:val="00A1486A"/>
    <w:rsid w:val="00A14944"/>
    <w:rsid w:val="00A16B52"/>
    <w:rsid w:val="00A17DED"/>
    <w:rsid w:val="00A20102"/>
    <w:rsid w:val="00A2017E"/>
    <w:rsid w:val="00A2131E"/>
    <w:rsid w:val="00A22515"/>
    <w:rsid w:val="00A2337E"/>
    <w:rsid w:val="00A24765"/>
    <w:rsid w:val="00A24A28"/>
    <w:rsid w:val="00A24C31"/>
    <w:rsid w:val="00A24FA6"/>
    <w:rsid w:val="00A25060"/>
    <w:rsid w:val="00A2547A"/>
    <w:rsid w:val="00A25882"/>
    <w:rsid w:val="00A261BA"/>
    <w:rsid w:val="00A3030B"/>
    <w:rsid w:val="00A31B07"/>
    <w:rsid w:val="00A32DAE"/>
    <w:rsid w:val="00A33C0F"/>
    <w:rsid w:val="00A35F17"/>
    <w:rsid w:val="00A3639E"/>
    <w:rsid w:val="00A3659C"/>
    <w:rsid w:val="00A36A51"/>
    <w:rsid w:val="00A3750B"/>
    <w:rsid w:val="00A40328"/>
    <w:rsid w:val="00A403A8"/>
    <w:rsid w:val="00A404B2"/>
    <w:rsid w:val="00A412C2"/>
    <w:rsid w:val="00A41901"/>
    <w:rsid w:val="00A428F3"/>
    <w:rsid w:val="00A43301"/>
    <w:rsid w:val="00A43CA9"/>
    <w:rsid w:val="00A44509"/>
    <w:rsid w:val="00A446D4"/>
    <w:rsid w:val="00A4582E"/>
    <w:rsid w:val="00A466C5"/>
    <w:rsid w:val="00A472C5"/>
    <w:rsid w:val="00A4740D"/>
    <w:rsid w:val="00A50CD1"/>
    <w:rsid w:val="00A50DA3"/>
    <w:rsid w:val="00A50F59"/>
    <w:rsid w:val="00A52008"/>
    <w:rsid w:val="00A528CC"/>
    <w:rsid w:val="00A52EF0"/>
    <w:rsid w:val="00A53CE6"/>
    <w:rsid w:val="00A5472F"/>
    <w:rsid w:val="00A54975"/>
    <w:rsid w:val="00A54C4F"/>
    <w:rsid w:val="00A54C94"/>
    <w:rsid w:val="00A555D1"/>
    <w:rsid w:val="00A560DE"/>
    <w:rsid w:val="00A56F02"/>
    <w:rsid w:val="00A57FD5"/>
    <w:rsid w:val="00A60AB7"/>
    <w:rsid w:val="00A615FC"/>
    <w:rsid w:val="00A62028"/>
    <w:rsid w:val="00A6320B"/>
    <w:rsid w:val="00A63FA3"/>
    <w:rsid w:val="00A643BD"/>
    <w:rsid w:val="00A64491"/>
    <w:rsid w:val="00A666EB"/>
    <w:rsid w:val="00A66DA4"/>
    <w:rsid w:val="00A7108C"/>
    <w:rsid w:val="00A718E9"/>
    <w:rsid w:val="00A7441C"/>
    <w:rsid w:val="00A75036"/>
    <w:rsid w:val="00A7606A"/>
    <w:rsid w:val="00A7702A"/>
    <w:rsid w:val="00A77956"/>
    <w:rsid w:val="00A80332"/>
    <w:rsid w:val="00A80D18"/>
    <w:rsid w:val="00A81297"/>
    <w:rsid w:val="00A81EE4"/>
    <w:rsid w:val="00A824C9"/>
    <w:rsid w:val="00A829E3"/>
    <w:rsid w:val="00A83C15"/>
    <w:rsid w:val="00A84413"/>
    <w:rsid w:val="00A848A5"/>
    <w:rsid w:val="00A85069"/>
    <w:rsid w:val="00A851D3"/>
    <w:rsid w:val="00A85A4E"/>
    <w:rsid w:val="00A85C99"/>
    <w:rsid w:val="00A85F3A"/>
    <w:rsid w:val="00A86059"/>
    <w:rsid w:val="00A8682A"/>
    <w:rsid w:val="00A86C74"/>
    <w:rsid w:val="00A877EA"/>
    <w:rsid w:val="00A87CC6"/>
    <w:rsid w:val="00A90434"/>
    <w:rsid w:val="00A90848"/>
    <w:rsid w:val="00A90C30"/>
    <w:rsid w:val="00A90D44"/>
    <w:rsid w:val="00A90D5D"/>
    <w:rsid w:val="00A919A8"/>
    <w:rsid w:val="00A941A6"/>
    <w:rsid w:val="00A95130"/>
    <w:rsid w:val="00A95E04"/>
    <w:rsid w:val="00A9664D"/>
    <w:rsid w:val="00A9702D"/>
    <w:rsid w:val="00A97794"/>
    <w:rsid w:val="00AA09CE"/>
    <w:rsid w:val="00AA109A"/>
    <w:rsid w:val="00AA184D"/>
    <w:rsid w:val="00AA3ADF"/>
    <w:rsid w:val="00AA4945"/>
    <w:rsid w:val="00AA4CF5"/>
    <w:rsid w:val="00AA4F18"/>
    <w:rsid w:val="00AA5089"/>
    <w:rsid w:val="00AA7490"/>
    <w:rsid w:val="00AA7EB9"/>
    <w:rsid w:val="00AB0321"/>
    <w:rsid w:val="00AB13D8"/>
    <w:rsid w:val="00AB21EA"/>
    <w:rsid w:val="00AB22C2"/>
    <w:rsid w:val="00AB23B1"/>
    <w:rsid w:val="00AB29DA"/>
    <w:rsid w:val="00AB2D5C"/>
    <w:rsid w:val="00AB44ED"/>
    <w:rsid w:val="00AB51C0"/>
    <w:rsid w:val="00AB538D"/>
    <w:rsid w:val="00AB6BAC"/>
    <w:rsid w:val="00AB70F7"/>
    <w:rsid w:val="00AC0022"/>
    <w:rsid w:val="00AC0AB2"/>
    <w:rsid w:val="00AC12F5"/>
    <w:rsid w:val="00AC289B"/>
    <w:rsid w:val="00AC37A1"/>
    <w:rsid w:val="00AC5006"/>
    <w:rsid w:val="00AC56CE"/>
    <w:rsid w:val="00AC59CF"/>
    <w:rsid w:val="00AC604F"/>
    <w:rsid w:val="00AC69E5"/>
    <w:rsid w:val="00AC71B2"/>
    <w:rsid w:val="00AC7CB2"/>
    <w:rsid w:val="00AD0495"/>
    <w:rsid w:val="00AD25B3"/>
    <w:rsid w:val="00AD2C27"/>
    <w:rsid w:val="00AD2F15"/>
    <w:rsid w:val="00AD4224"/>
    <w:rsid w:val="00AD4E75"/>
    <w:rsid w:val="00AD523B"/>
    <w:rsid w:val="00AD6DC7"/>
    <w:rsid w:val="00AD74C8"/>
    <w:rsid w:val="00AE018F"/>
    <w:rsid w:val="00AE1909"/>
    <w:rsid w:val="00AE1E31"/>
    <w:rsid w:val="00AE1F27"/>
    <w:rsid w:val="00AE3181"/>
    <w:rsid w:val="00AE357C"/>
    <w:rsid w:val="00AE7531"/>
    <w:rsid w:val="00AE7EDF"/>
    <w:rsid w:val="00AF07F9"/>
    <w:rsid w:val="00AF165B"/>
    <w:rsid w:val="00AF2C19"/>
    <w:rsid w:val="00AF3257"/>
    <w:rsid w:val="00AF34AF"/>
    <w:rsid w:val="00AF3D16"/>
    <w:rsid w:val="00AF4186"/>
    <w:rsid w:val="00AF47A4"/>
    <w:rsid w:val="00AF6432"/>
    <w:rsid w:val="00AF687C"/>
    <w:rsid w:val="00AF6C4D"/>
    <w:rsid w:val="00B01120"/>
    <w:rsid w:val="00B01969"/>
    <w:rsid w:val="00B04BED"/>
    <w:rsid w:val="00B052CB"/>
    <w:rsid w:val="00B054AC"/>
    <w:rsid w:val="00B06368"/>
    <w:rsid w:val="00B0750E"/>
    <w:rsid w:val="00B10470"/>
    <w:rsid w:val="00B10AEC"/>
    <w:rsid w:val="00B11217"/>
    <w:rsid w:val="00B11660"/>
    <w:rsid w:val="00B120E4"/>
    <w:rsid w:val="00B12515"/>
    <w:rsid w:val="00B139D2"/>
    <w:rsid w:val="00B16963"/>
    <w:rsid w:val="00B16C3A"/>
    <w:rsid w:val="00B2044E"/>
    <w:rsid w:val="00B2115F"/>
    <w:rsid w:val="00B21902"/>
    <w:rsid w:val="00B21BA2"/>
    <w:rsid w:val="00B22768"/>
    <w:rsid w:val="00B22779"/>
    <w:rsid w:val="00B2314C"/>
    <w:rsid w:val="00B234B3"/>
    <w:rsid w:val="00B23C83"/>
    <w:rsid w:val="00B24E70"/>
    <w:rsid w:val="00B24FA2"/>
    <w:rsid w:val="00B30BB7"/>
    <w:rsid w:val="00B3110A"/>
    <w:rsid w:val="00B3166E"/>
    <w:rsid w:val="00B320FF"/>
    <w:rsid w:val="00B32620"/>
    <w:rsid w:val="00B32906"/>
    <w:rsid w:val="00B32B9E"/>
    <w:rsid w:val="00B32FB1"/>
    <w:rsid w:val="00B33921"/>
    <w:rsid w:val="00B33FCF"/>
    <w:rsid w:val="00B340E9"/>
    <w:rsid w:val="00B349EE"/>
    <w:rsid w:val="00B3528D"/>
    <w:rsid w:val="00B35AFE"/>
    <w:rsid w:val="00B35D3A"/>
    <w:rsid w:val="00B35E9F"/>
    <w:rsid w:val="00B372E0"/>
    <w:rsid w:val="00B4016D"/>
    <w:rsid w:val="00B40329"/>
    <w:rsid w:val="00B4063B"/>
    <w:rsid w:val="00B40B8D"/>
    <w:rsid w:val="00B4103B"/>
    <w:rsid w:val="00B41973"/>
    <w:rsid w:val="00B432A2"/>
    <w:rsid w:val="00B45440"/>
    <w:rsid w:val="00B50250"/>
    <w:rsid w:val="00B50F34"/>
    <w:rsid w:val="00B53839"/>
    <w:rsid w:val="00B5466A"/>
    <w:rsid w:val="00B546E5"/>
    <w:rsid w:val="00B548F1"/>
    <w:rsid w:val="00B54E07"/>
    <w:rsid w:val="00B565C8"/>
    <w:rsid w:val="00B56B0F"/>
    <w:rsid w:val="00B57F78"/>
    <w:rsid w:val="00B6141E"/>
    <w:rsid w:val="00B62F9E"/>
    <w:rsid w:val="00B64AF1"/>
    <w:rsid w:val="00B67ED0"/>
    <w:rsid w:val="00B70DE4"/>
    <w:rsid w:val="00B70E53"/>
    <w:rsid w:val="00B71451"/>
    <w:rsid w:val="00B71A00"/>
    <w:rsid w:val="00B74278"/>
    <w:rsid w:val="00B74705"/>
    <w:rsid w:val="00B74730"/>
    <w:rsid w:val="00B749D6"/>
    <w:rsid w:val="00B75149"/>
    <w:rsid w:val="00B75C22"/>
    <w:rsid w:val="00B768B6"/>
    <w:rsid w:val="00B76DEF"/>
    <w:rsid w:val="00B77767"/>
    <w:rsid w:val="00B803D6"/>
    <w:rsid w:val="00B8091A"/>
    <w:rsid w:val="00B8102E"/>
    <w:rsid w:val="00B82D90"/>
    <w:rsid w:val="00B83257"/>
    <w:rsid w:val="00B8475A"/>
    <w:rsid w:val="00B85199"/>
    <w:rsid w:val="00B87C37"/>
    <w:rsid w:val="00B903E3"/>
    <w:rsid w:val="00B90D14"/>
    <w:rsid w:val="00B911C2"/>
    <w:rsid w:val="00B9137C"/>
    <w:rsid w:val="00B91DF8"/>
    <w:rsid w:val="00B92C72"/>
    <w:rsid w:val="00B93396"/>
    <w:rsid w:val="00B93984"/>
    <w:rsid w:val="00B94B20"/>
    <w:rsid w:val="00B95300"/>
    <w:rsid w:val="00B9543E"/>
    <w:rsid w:val="00B9577C"/>
    <w:rsid w:val="00B9594C"/>
    <w:rsid w:val="00B96F03"/>
    <w:rsid w:val="00B9734C"/>
    <w:rsid w:val="00B97924"/>
    <w:rsid w:val="00BA0B05"/>
    <w:rsid w:val="00BA1C6F"/>
    <w:rsid w:val="00BA26EF"/>
    <w:rsid w:val="00BA2C03"/>
    <w:rsid w:val="00BA314C"/>
    <w:rsid w:val="00BA3969"/>
    <w:rsid w:val="00BA4235"/>
    <w:rsid w:val="00BA6C1F"/>
    <w:rsid w:val="00BA7AF1"/>
    <w:rsid w:val="00BA7DBE"/>
    <w:rsid w:val="00BB1E94"/>
    <w:rsid w:val="00BB1F4A"/>
    <w:rsid w:val="00BB24AC"/>
    <w:rsid w:val="00BB29AC"/>
    <w:rsid w:val="00BB51B9"/>
    <w:rsid w:val="00BB57F4"/>
    <w:rsid w:val="00BB64DA"/>
    <w:rsid w:val="00BB7712"/>
    <w:rsid w:val="00BB7A58"/>
    <w:rsid w:val="00BB7CB8"/>
    <w:rsid w:val="00BC039C"/>
    <w:rsid w:val="00BC0456"/>
    <w:rsid w:val="00BC177D"/>
    <w:rsid w:val="00BC1A41"/>
    <w:rsid w:val="00BC2114"/>
    <w:rsid w:val="00BC26B1"/>
    <w:rsid w:val="00BC2908"/>
    <w:rsid w:val="00BC34C2"/>
    <w:rsid w:val="00BC3FC3"/>
    <w:rsid w:val="00BC5224"/>
    <w:rsid w:val="00BC65D3"/>
    <w:rsid w:val="00BC6BAB"/>
    <w:rsid w:val="00BC6FDF"/>
    <w:rsid w:val="00BC7AE4"/>
    <w:rsid w:val="00BC7D35"/>
    <w:rsid w:val="00BC7D79"/>
    <w:rsid w:val="00BD02DD"/>
    <w:rsid w:val="00BD07DC"/>
    <w:rsid w:val="00BD09E2"/>
    <w:rsid w:val="00BD0AC0"/>
    <w:rsid w:val="00BD2E62"/>
    <w:rsid w:val="00BD4484"/>
    <w:rsid w:val="00BD4A4B"/>
    <w:rsid w:val="00BD4C27"/>
    <w:rsid w:val="00BD6907"/>
    <w:rsid w:val="00BD6E92"/>
    <w:rsid w:val="00BD769D"/>
    <w:rsid w:val="00BE0F25"/>
    <w:rsid w:val="00BE15D2"/>
    <w:rsid w:val="00BE23BB"/>
    <w:rsid w:val="00BE274E"/>
    <w:rsid w:val="00BE336C"/>
    <w:rsid w:val="00BE3502"/>
    <w:rsid w:val="00BE3ADC"/>
    <w:rsid w:val="00BE445D"/>
    <w:rsid w:val="00BE4D2C"/>
    <w:rsid w:val="00BE56D9"/>
    <w:rsid w:val="00BE7F6B"/>
    <w:rsid w:val="00BF0382"/>
    <w:rsid w:val="00BF082E"/>
    <w:rsid w:val="00BF0988"/>
    <w:rsid w:val="00BF1B21"/>
    <w:rsid w:val="00BF1E0A"/>
    <w:rsid w:val="00BF27E9"/>
    <w:rsid w:val="00BF2A73"/>
    <w:rsid w:val="00BF2B5B"/>
    <w:rsid w:val="00BF38FD"/>
    <w:rsid w:val="00BF3947"/>
    <w:rsid w:val="00BF4690"/>
    <w:rsid w:val="00BF6F76"/>
    <w:rsid w:val="00BF7155"/>
    <w:rsid w:val="00C02978"/>
    <w:rsid w:val="00C034A9"/>
    <w:rsid w:val="00C03859"/>
    <w:rsid w:val="00C03F51"/>
    <w:rsid w:val="00C05E01"/>
    <w:rsid w:val="00C05E42"/>
    <w:rsid w:val="00C063F1"/>
    <w:rsid w:val="00C0679C"/>
    <w:rsid w:val="00C078BD"/>
    <w:rsid w:val="00C102CC"/>
    <w:rsid w:val="00C11A47"/>
    <w:rsid w:val="00C12098"/>
    <w:rsid w:val="00C13805"/>
    <w:rsid w:val="00C14397"/>
    <w:rsid w:val="00C15CA6"/>
    <w:rsid w:val="00C16807"/>
    <w:rsid w:val="00C16F89"/>
    <w:rsid w:val="00C17529"/>
    <w:rsid w:val="00C2025F"/>
    <w:rsid w:val="00C20B87"/>
    <w:rsid w:val="00C2167D"/>
    <w:rsid w:val="00C21BCC"/>
    <w:rsid w:val="00C22BFA"/>
    <w:rsid w:val="00C2403A"/>
    <w:rsid w:val="00C24CC2"/>
    <w:rsid w:val="00C266D3"/>
    <w:rsid w:val="00C266DA"/>
    <w:rsid w:val="00C26FE9"/>
    <w:rsid w:val="00C27C74"/>
    <w:rsid w:val="00C27D03"/>
    <w:rsid w:val="00C30313"/>
    <w:rsid w:val="00C304DA"/>
    <w:rsid w:val="00C31095"/>
    <w:rsid w:val="00C31277"/>
    <w:rsid w:val="00C32321"/>
    <w:rsid w:val="00C3296F"/>
    <w:rsid w:val="00C33173"/>
    <w:rsid w:val="00C349F0"/>
    <w:rsid w:val="00C34A1E"/>
    <w:rsid w:val="00C3720B"/>
    <w:rsid w:val="00C406CF"/>
    <w:rsid w:val="00C41423"/>
    <w:rsid w:val="00C41C56"/>
    <w:rsid w:val="00C4334F"/>
    <w:rsid w:val="00C4363D"/>
    <w:rsid w:val="00C438CA"/>
    <w:rsid w:val="00C4434A"/>
    <w:rsid w:val="00C44906"/>
    <w:rsid w:val="00C44974"/>
    <w:rsid w:val="00C44E9E"/>
    <w:rsid w:val="00C4570B"/>
    <w:rsid w:val="00C46098"/>
    <w:rsid w:val="00C46439"/>
    <w:rsid w:val="00C465CE"/>
    <w:rsid w:val="00C46B32"/>
    <w:rsid w:val="00C47A26"/>
    <w:rsid w:val="00C50E1F"/>
    <w:rsid w:val="00C516EC"/>
    <w:rsid w:val="00C52ABF"/>
    <w:rsid w:val="00C539F0"/>
    <w:rsid w:val="00C53DC9"/>
    <w:rsid w:val="00C5436E"/>
    <w:rsid w:val="00C54702"/>
    <w:rsid w:val="00C571A9"/>
    <w:rsid w:val="00C615A7"/>
    <w:rsid w:val="00C616BF"/>
    <w:rsid w:val="00C61AD1"/>
    <w:rsid w:val="00C622E5"/>
    <w:rsid w:val="00C62AE6"/>
    <w:rsid w:val="00C62C5D"/>
    <w:rsid w:val="00C6342A"/>
    <w:rsid w:val="00C646CF"/>
    <w:rsid w:val="00C64873"/>
    <w:rsid w:val="00C64C34"/>
    <w:rsid w:val="00C64EE6"/>
    <w:rsid w:val="00C65959"/>
    <w:rsid w:val="00C65A0A"/>
    <w:rsid w:val="00C65ED1"/>
    <w:rsid w:val="00C66628"/>
    <w:rsid w:val="00C67701"/>
    <w:rsid w:val="00C711C5"/>
    <w:rsid w:val="00C715DB"/>
    <w:rsid w:val="00C7189F"/>
    <w:rsid w:val="00C73C13"/>
    <w:rsid w:val="00C7422F"/>
    <w:rsid w:val="00C74528"/>
    <w:rsid w:val="00C74812"/>
    <w:rsid w:val="00C751BF"/>
    <w:rsid w:val="00C762F7"/>
    <w:rsid w:val="00C7651A"/>
    <w:rsid w:val="00C77280"/>
    <w:rsid w:val="00C77C83"/>
    <w:rsid w:val="00C812AA"/>
    <w:rsid w:val="00C813A0"/>
    <w:rsid w:val="00C817E6"/>
    <w:rsid w:val="00C81AD1"/>
    <w:rsid w:val="00C81E9F"/>
    <w:rsid w:val="00C82372"/>
    <w:rsid w:val="00C82B76"/>
    <w:rsid w:val="00C82CB6"/>
    <w:rsid w:val="00C83111"/>
    <w:rsid w:val="00C84265"/>
    <w:rsid w:val="00C84ED5"/>
    <w:rsid w:val="00C8609E"/>
    <w:rsid w:val="00C8623F"/>
    <w:rsid w:val="00C87684"/>
    <w:rsid w:val="00C87E9A"/>
    <w:rsid w:val="00C901DB"/>
    <w:rsid w:val="00C9070B"/>
    <w:rsid w:val="00C92706"/>
    <w:rsid w:val="00C929EE"/>
    <w:rsid w:val="00C93B18"/>
    <w:rsid w:val="00C94791"/>
    <w:rsid w:val="00C94CBD"/>
    <w:rsid w:val="00C95057"/>
    <w:rsid w:val="00C96465"/>
    <w:rsid w:val="00C96D0A"/>
    <w:rsid w:val="00C96E97"/>
    <w:rsid w:val="00C974FE"/>
    <w:rsid w:val="00CA001B"/>
    <w:rsid w:val="00CA01AD"/>
    <w:rsid w:val="00CA061E"/>
    <w:rsid w:val="00CA1267"/>
    <w:rsid w:val="00CA2625"/>
    <w:rsid w:val="00CA3024"/>
    <w:rsid w:val="00CA36EF"/>
    <w:rsid w:val="00CA3C73"/>
    <w:rsid w:val="00CA3E46"/>
    <w:rsid w:val="00CA5475"/>
    <w:rsid w:val="00CA5E21"/>
    <w:rsid w:val="00CA6FE3"/>
    <w:rsid w:val="00CA7BFF"/>
    <w:rsid w:val="00CB0164"/>
    <w:rsid w:val="00CB19DA"/>
    <w:rsid w:val="00CB1BF5"/>
    <w:rsid w:val="00CB2FA5"/>
    <w:rsid w:val="00CB44F6"/>
    <w:rsid w:val="00CB519E"/>
    <w:rsid w:val="00CB51BB"/>
    <w:rsid w:val="00CB51FF"/>
    <w:rsid w:val="00CB6E0C"/>
    <w:rsid w:val="00CC023C"/>
    <w:rsid w:val="00CC0334"/>
    <w:rsid w:val="00CC1692"/>
    <w:rsid w:val="00CC1B8B"/>
    <w:rsid w:val="00CC1DF5"/>
    <w:rsid w:val="00CC1EAD"/>
    <w:rsid w:val="00CC30C2"/>
    <w:rsid w:val="00CC311A"/>
    <w:rsid w:val="00CC3A59"/>
    <w:rsid w:val="00CC3C03"/>
    <w:rsid w:val="00CC4253"/>
    <w:rsid w:val="00CC4804"/>
    <w:rsid w:val="00CC4E34"/>
    <w:rsid w:val="00CC5133"/>
    <w:rsid w:val="00CC54EB"/>
    <w:rsid w:val="00CC5F27"/>
    <w:rsid w:val="00CC63FE"/>
    <w:rsid w:val="00CC7437"/>
    <w:rsid w:val="00CD06C1"/>
    <w:rsid w:val="00CD20E1"/>
    <w:rsid w:val="00CD2F74"/>
    <w:rsid w:val="00CD3BBB"/>
    <w:rsid w:val="00CD3C54"/>
    <w:rsid w:val="00CD5A98"/>
    <w:rsid w:val="00CD6EF5"/>
    <w:rsid w:val="00CD7493"/>
    <w:rsid w:val="00CD76C0"/>
    <w:rsid w:val="00CD7F31"/>
    <w:rsid w:val="00CE1BC1"/>
    <w:rsid w:val="00CE21A4"/>
    <w:rsid w:val="00CE3521"/>
    <w:rsid w:val="00CE3A2A"/>
    <w:rsid w:val="00CE3B1C"/>
    <w:rsid w:val="00CE5723"/>
    <w:rsid w:val="00CF00AD"/>
    <w:rsid w:val="00CF06F9"/>
    <w:rsid w:val="00CF071D"/>
    <w:rsid w:val="00CF1107"/>
    <w:rsid w:val="00CF1168"/>
    <w:rsid w:val="00CF1C88"/>
    <w:rsid w:val="00CF2D83"/>
    <w:rsid w:val="00CF3034"/>
    <w:rsid w:val="00CF3FC7"/>
    <w:rsid w:val="00CF5493"/>
    <w:rsid w:val="00CF5603"/>
    <w:rsid w:val="00CF634F"/>
    <w:rsid w:val="00CF67D8"/>
    <w:rsid w:val="00CF694E"/>
    <w:rsid w:val="00CF6BF4"/>
    <w:rsid w:val="00CF7DE9"/>
    <w:rsid w:val="00D00547"/>
    <w:rsid w:val="00D01398"/>
    <w:rsid w:val="00D0189D"/>
    <w:rsid w:val="00D02427"/>
    <w:rsid w:val="00D02E46"/>
    <w:rsid w:val="00D03781"/>
    <w:rsid w:val="00D0403A"/>
    <w:rsid w:val="00D04528"/>
    <w:rsid w:val="00D050BA"/>
    <w:rsid w:val="00D05E32"/>
    <w:rsid w:val="00D06CBF"/>
    <w:rsid w:val="00D06FC6"/>
    <w:rsid w:val="00D07DAA"/>
    <w:rsid w:val="00D11CE7"/>
    <w:rsid w:val="00D12281"/>
    <w:rsid w:val="00D14D03"/>
    <w:rsid w:val="00D173CE"/>
    <w:rsid w:val="00D176D6"/>
    <w:rsid w:val="00D21F17"/>
    <w:rsid w:val="00D225A9"/>
    <w:rsid w:val="00D234A5"/>
    <w:rsid w:val="00D2772F"/>
    <w:rsid w:val="00D3079F"/>
    <w:rsid w:val="00D30C5E"/>
    <w:rsid w:val="00D3100A"/>
    <w:rsid w:val="00D312EB"/>
    <w:rsid w:val="00D31C89"/>
    <w:rsid w:val="00D3348F"/>
    <w:rsid w:val="00D3413F"/>
    <w:rsid w:val="00D34190"/>
    <w:rsid w:val="00D3483B"/>
    <w:rsid w:val="00D3497A"/>
    <w:rsid w:val="00D35A12"/>
    <w:rsid w:val="00D373B0"/>
    <w:rsid w:val="00D40BB5"/>
    <w:rsid w:val="00D40EFC"/>
    <w:rsid w:val="00D4142C"/>
    <w:rsid w:val="00D42178"/>
    <w:rsid w:val="00D4229B"/>
    <w:rsid w:val="00D45C32"/>
    <w:rsid w:val="00D462AD"/>
    <w:rsid w:val="00D46FF7"/>
    <w:rsid w:val="00D47431"/>
    <w:rsid w:val="00D47A8B"/>
    <w:rsid w:val="00D47AD5"/>
    <w:rsid w:val="00D47F91"/>
    <w:rsid w:val="00D518C3"/>
    <w:rsid w:val="00D51C09"/>
    <w:rsid w:val="00D51D3D"/>
    <w:rsid w:val="00D52CEB"/>
    <w:rsid w:val="00D52D3B"/>
    <w:rsid w:val="00D532C6"/>
    <w:rsid w:val="00D5426B"/>
    <w:rsid w:val="00D55010"/>
    <w:rsid w:val="00D5599A"/>
    <w:rsid w:val="00D55B21"/>
    <w:rsid w:val="00D563A6"/>
    <w:rsid w:val="00D569AD"/>
    <w:rsid w:val="00D56C76"/>
    <w:rsid w:val="00D60074"/>
    <w:rsid w:val="00D6041B"/>
    <w:rsid w:val="00D605E5"/>
    <w:rsid w:val="00D61E52"/>
    <w:rsid w:val="00D61F73"/>
    <w:rsid w:val="00D6268B"/>
    <w:rsid w:val="00D62A68"/>
    <w:rsid w:val="00D62A8B"/>
    <w:rsid w:val="00D630A0"/>
    <w:rsid w:val="00D65697"/>
    <w:rsid w:val="00D66036"/>
    <w:rsid w:val="00D66D0D"/>
    <w:rsid w:val="00D67140"/>
    <w:rsid w:val="00D7076D"/>
    <w:rsid w:val="00D71595"/>
    <w:rsid w:val="00D71B33"/>
    <w:rsid w:val="00D731B0"/>
    <w:rsid w:val="00D73F84"/>
    <w:rsid w:val="00D740F4"/>
    <w:rsid w:val="00D74189"/>
    <w:rsid w:val="00D74329"/>
    <w:rsid w:val="00D7465C"/>
    <w:rsid w:val="00D75419"/>
    <w:rsid w:val="00D758A0"/>
    <w:rsid w:val="00D77596"/>
    <w:rsid w:val="00D802FD"/>
    <w:rsid w:val="00D814B5"/>
    <w:rsid w:val="00D82EE0"/>
    <w:rsid w:val="00D8402A"/>
    <w:rsid w:val="00D84962"/>
    <w:rsid w:val="00D84FCC"/>
    <w:rsid w:val="00D869C5"/>
    <w:rsid w:val="00D86A4E"/>
    <w:rsid w:val="00D87EE8"/>
    <w:rsid w:val="00D91E3F"/>
    <w:rsid w:val="00D92BE8"/>
    <w:rsid w:val="00D932E1"/>
    <w:rsid w:val="00D936BF"/>
    <w:rsid w:val="00D937A6"/>
    <w:rsid w:val="00D93FD8"/>
    <w:rsid w:val="00D94A5A"/>
    <w:rsid w:val="00D94C3C"/>
    <w:rsid w:val="00D95258"/>
    <w:rsid w:val="00D956C6"/>
    <w:rsid w:val="00D9626A"/>
    <w:rsid w:val="00DA0427"/>
    <w:rsid w:val="00DA05B7"/>
    <w:rsid w:val="00DA0CB6"/>
    <w:rsid w:val="00DA1B0F"/>
    <w:rsid w:val="00DA1E39"/>
    <w:rsid w:val="00DA2171"/>
    <w:rsid w:val="00DA266F"/>
    <w:rsid w:val="00DA2928"/>
    <w:rsid w:val="00DA3AE2"/>
    <w:rsid w:val="00DA3B33"/>
    <w:rsid w:val="00DA42A3"/>
    <w:rsid w:val="00DA5AF9"/>
    <w:rsid w:val="00DA5B4D"/>
    <w:rsid w:val="00DA66D3"/>
    <w:rsid w:val="00DA702D"/>
    <w:rsid w:val="00DA7075"/>
    <w:rsid w:val="00DA74A2"/>
    <w:rsid w:val="00DA7D37"/>
    <w:rsid w:val="00DB010E"/>
    <w:rsid w:val="00DB0BBC"/>
    <w:rsid w:val="00DB191E"/>
    <w:rsid w:val="00DB1E05"/>
    <w:rsid w:val="00DB2029"/>
    <w:rsid w:val="00DB5927"/>
    <w:rsid w:val="00DB6664"/>
    <w:rsid w:val="00DB73FB"/>
    <w:rsid w:val="00DB7CC5"/>
    <w:rsid w:val="00DB7CD4"/>
    <w:rsid w:val="00DC0A66"/>
    <w:rsid w:val="00DC0DBE"/>
    <w:rsid w:val="00DC2523"/>
    <w:rsid w:val="00DC3792"/>
    <w:rsid w:val="00DC429D"/>
    <w:rsid w:val="00DC497E"/>
    <w:rsid w:val="00DC49F0"/>
    <w:rsid w:val="00DC6743"/>
    <w:rsid w:val="00DC6E17"/>
    <w:rsid w:val="00DC6F8F"/>
    <w:rsid w:val="00DC7C69"/>
    <w:rsid w:val="00DD0C56"/>
    <w:rsid w:val="00DD26B7"/>
    <w:rsid w:val="00DD2785"/>
    <w:rsid w:val="00DD2EA7"/>
    <w:rsid w:val="00DD35D4"/>
    <w:rsid w:val="00DD3C0D"/>
    <w:rsid w:val="00DD4449"/>
    <w:rsid w:val="00DD4DCA"/>
    <w:rsid w:val="00DD5B02"/>
    <w:rsid w:val="00DD5CCB"/>
    <w:rsid w:val="00DD6003"/>
    <w:rsid w:val="00DD635E"/>
    <w:rsid w:val="00DD7B1D"/>
    <w:rsid w:val="00DE1355"/>
    <w:rsid w:val="00DE14D6"/>
    <w:rsid w:val="00DE1A4C"/>
    <w:rsid w:val="00DE285A"/>
    <w:rsid w:val="00DE2A03"/>
    <w:rsid w:val="00DE2F3F"/>
    <w:rsid w:val="00DE3645"/>
    <w:rsid w:val="00DE3973"/>
    <w:rsid w:val="00DE4ADB"/>
    <w:rsid w:val="00DE5417"/>
    <w:rsid w:val="00DE5630"/>
    <w:rsid w:val="00DE65F6"/>
    <w:rsid w:val="00DE7227"/>
    <w:rsid w:val="00DE76FC"/>
    <w:rsid w:val="00DF2891"/>
    <w:rsid w:val="00DF355A"/>
    <w:rsid w:val="00DF3789"/>
    <w:rsid w:val="00DF3B2A"/>
    <w:rsid w:val="00DF3F22"/>
    <w:rsid w:val="00DF4BAB"/>
    <w:rsid w:val="00DF5D14"/>
    <w:rsid w:val="00DF608E"/>
    <w:rsid w:val="00DF657D"/>
    <w:rsid w:val="00DF682A"/>
    <w:rsid w:val="00DF6CC5"/>
    <w:rsid w:val="00DF6DB2"/>
    <w:rsid w:val="00DF6FF1"/>
    <w:rsid w:val="00DF71EB"/>
    <w:rsid w:val="00DF76E0"/>
    <w:rsid w:val="00DF7763"/>
    <w:rsid w:val="00DF7F7A"/>
    <w:rsid w:val="00E007FD"/>
    <w:rsid w:val="00E00B50"/>
    <w:rsid w:val="00E015A9"/>
    <w:rsid w:val="00E01B18"/>
    <w:rsid w:val="00E01B2E"/>
    <w:rsid w:val="00E01B45"/>
    <w:rsid w:val="00E02883"/>
    <w:rsid w:val="00E02AEE"/>
    <w:rsid w:val="00E02E89"/>
    <w:rsid w:val="00E03A97"/>
    <w:rsid w:val="00E04029"/>
    <w:rsid w:val="00E05379"/>
    <w:rsid w:val="00E05D98"/>
    <w:rsid w:val="00E0744B"/>
    <w:rsid w:val="00E07667"/>
    <w:rsid w:val="00E07755"/>
    <w:rsid w:val="00E07D23"/>
    <w:rsid w:val="00E07E2E"/>
    <w:rsid w:val="00E07E8B"/>
    <w:rsid w:val="00E10861"/>
    <w:rsid w:val="00E120BC"/>
    <w:rsid w:val="00E1258C"/>
    <w:rsid w:val="00E1376C"/>
    <w:rsid w:val="00E137AA"/>
    <w:rsid w:val="00E1440A"/>
    <w:rsid w:val="00E15635"/>
    <w:rsid w:val="00E15E45"/>
    <w:rsid w:val="00E16BEE"/>
    <w:rsid w:val="00E2103E"/>
    <w:rsid w:val="00E212B9"/>
    <w:rsid w:val="00E21B02"/>
    <w:rsid w:val="00E23869"/>
    <w:rsid w:val="00E24B0F"/>
    <w:rsid w:val="00E25B42"/>
    <w:rsid w:val="00E26156"/>
    <w:rsid w:val="00E27323"/>
    <w:rsid w:val="00E27FA3"/>
    <w:rsid w:val="00E302DF"/>
    <w:rsid w:val="00E304C4"/>
    <w:rsid w:val="00E3099D"/>
    <w:rsid w:val="00E32D2D"/>
    <w:rsid w:val="00E333FB"/>
    <w:rsid w:val="00E3345C"/>
    <w:rsid w:val="00E35515"/>
    <w:rsid w:val="00E361BF"/>
    <w:rsid w:val="00E36F7B"/>
    <w:rsid w:val="00E378FB"/>
    <w:rsid w:val="00E37C51"/>
    <w:rsid w:val="00E40778"/>
    <w:rsid w:val="00E40ED4"/>
    <w:rsid w:val="00E40F77"/>
    <w:rsid w:val="00E410E2"/>
    <w:rsid w:val="00E41D9C"/>
    <w:rsid w:val="00E41FE9"/>
    <w:rsid w:val="00E427D9"/>
    <w:rsid w:val="00E4324A"/>
    <w:rsid w:val="00E43FA3"/>
    <w:rsid w:val="00E44314"/>
    <w:rsid w:val="00E444B4"/>
    <w:rsid w:val="00E4501A"/>
    <w:rsid w:val="00E4586E"/>
    <w:rsid w:val="00E46187"/>
    <w:rsid w:val="00E46BFA"/>
    <w:rsid w:val="00E46DA2"/>
    <w:rsid w:val="00E47631"/>
    <w:rsid w:val="00E477BE"/>
    <w:rsid w:val="00E47B62"/>
    <w:rsid w:val="00E513F5"/>
    <w:rsid w:val="00E51517"/>
    <w:rsid w:val="00E51A78"/>
    <w:rsid w:val="00E51AFF"/>
    <w:rsid w:val="00E51F74"/>
    <w:rsid w:val="00E53A0B"/>
    <w:rsid w:val="00E54533"/>
    <w:rsid w:val="00E55868"/>
    <w:rsid w:val="00E55FE6"/>
    <w:rsid w:val="00E57D68"/>
    <w:rsid w:val="00E60C14"/>
    <w:rsid w:val="00E61747"/>
    <w:rsid w:val="00E61815"/>
    <w:rsid w:val="00E620C7"/>
    <w:rsid w:val="00E64538"/>
    <w:rsid w:val="00E647B5"/>
    <w:rsid w:val="00E653B8"/>
    <w:rsid w:val="00E65D86"/>
    <w:rsid w:val="00E66421"/>
    <w:rsid w:val="00E66967"/>
    <w:rsid w:val="00E67987"/>
    <w:rsid w:val="00E67B86"/>
    <w:rsid w:val="00E67E1C"/>
    <w:rsid w:val="00E70A51"/>
    <w:rsid w:val="00E70E2A"/>
    <w:rsid w:val="00E72C1A"/>
    <w:rsid w:val="00E7435E"/>
    <w:rsid w:val="00E74BBE"/>
    <w:rsid w:val="00E75675"/>
    <w:rsid w:val="00E763CD"/>
    <w:rsid w:val="00E76A0F"/>
    <w:rsid w:val="00E76F36"/>
    <w:rsid w:val="00E7711B"/>
    <w:rsid w:val="00E77D6D"/>
    <w:rsid w:val="00E8114F"/>
    <w:rsid w:val="00E82B64"/>
    <w:rsid w:val="00E83E08"/>
    <w:rsid w:val="00E850A3"/>
    <w:rsid w:val="00E8528B"/>
    <w:rsid w:val="00E86084"/>
    <w:rsid w:val="00E86A15"/>
    <w:rsid w:val="00E86E88"/>
    <w:rsid w:val="00E87034"/>
    <w:rsid w:val="00E8766C"/>
    <w:rsid w:val="00E878C1"/>
    <w:rsid w:val="00E904B3"/>
    <w:rsid w:val="00E90733"/>
    <w:rsid w:val="00E90DC2"/>
    <w:rsid w:val="00E90F26"/>
    <w:rsid w:val="00E91D52"/>
    <w:rsid w:val="00E931A2"/>
    <w:rsid w:val="00E932F5"/>
    <w:rsid w:val="00E93D9A"/>
    <w:rsid w:val="00E94D70"/>
    <w:rsid w:val="00E95EEF"/>
    <w:rsid w:val="00E96340"/>
    <w:rsid w:val="00EA0157"/>
    <w:rsid w:val="00EA0C3E"/>
    <w:rsid w:val="00EA0DE1"/>
    <w:rsid w:val="00EA1141"/>
    <w:rsid w:val="00EA19AF"/>
    <w:rsid w:val="00EA1BF3"/>
    <w:rsid w:val="00EA38D5"/>
    <w:rsid w:val="00EA4363"/>
    <w:rsid w:val="00EA5409"/>
    <w:rsid w:val="00EA5445"/>
    <w:rsid w:val="00EA5C37"/>
    <w:rsid w:val="00EA5F10"/>
    <w:rsid w:val="00EA5F30"/>
    <w:rsid w:val="00EA6F59"/>
    <w:rsid w:val="00EA789A"/>
    <w:rsid w:val="00EA7B94"/>
    <w:rsid w:val="00EB0AC8"/>
    <w:rsid w:val="00EB0F10"/>
    <w:rsid w:val="00EB13BC"/>
    <w:rsid w:val="00EB219C"/>
    <w:rsid w:val="00EB2C13"/>
    <w:rsid w:val="00EB2C25"/>
    <w:rsid w:val="00EB321E"/>
    <w:rsid w:val="00EB6374"/>
    <w:rsid w:val="00EB64FC"/>
    <w:rsid w:val="00EB6F39"/>
    <w:rsid w:val="00EB7B3E"/>
    <w:rsid w:val="00EB7C5B"/>
    <w:rsid w:val="00EC0FC7"/>
    <w:rsid w:val="00EC3466"/>
    <w:rsid w:val="00EC37C6"/>
    <w:rsid w:val="00EC3CEA"/>
    <w:rsid w:val="00EC5360"/>
    <w:rsid w:val="00EC6F70"/>
    <w:rsid w:val="00EC744B"/>
    <w:rsid w:val="00EC778D"/>
    <w:rsid w:val="00EC7B5A"/>
    <w:rsid w:val="00EC7CEC"/>
    <w:rsid w:val="00ED03B7"/>
    <w:rsid w:val="00ED090C"/>
    <w:rsid w:val="00ED1573"/>
    <w:rsid w:val="00ED1966"/>
    <w:rsid w:val="00ED3498"/>
    <w:rsid w:val="00ED3C02"/>
    <w:rsid w:val="00ED419B"/>
    <w:rsid w:val="00ED43BD"/>
    <w:rsid w:val="00ED4DA5"/>
    <w:rsid w:val="00ED5501"/>
    <w:rsid w:val="00ED5AF3"/>
    <w:rsid w:val="00ED5F06"/>
    <w:rsid w:val="00ED624A"/>
    <w:rsid w:val="00ED6E55"/>
    <w:rsid w:val="00ED7419"/>
    <w:rsid w:val="00ED76DA"/>
    <w:rsid w:val="00EE050F"/>
    <w:rsid w:val="00EE081A"/>
    <w:rsid w:val="00EE0F44"/>
    <w:rsid w:val="00EE1131"/>
    <w:rsid w:val="00EE1EB5"/>
    <w:rsid w:val="00EE243B"/>
    <w:rsid w:val="00EE2B28"/>
    <w:rsid w:val="00EE3398"/>
    <w:rsid w:val="00EE60DB"/>
    <w:rsid w:val="00EE7E38"/>
    <w:rsid w:val="00EE7EEA"/>
    <w:rsid w:val="00EF1D7E"/>
    <w:rsid w:val="00EF34B4"/>
    <w:rsid w:val="00EF39FC"/>
    <w:rsid w:val="00EF4CEE"/>
    <w:rsid w:val="00EF5638"/>
    <w:rsid w:val="00EF59A3"/>
    <w:rsid w:val="00EF5EA7"/>
    <w:rsid w:val="00EF6801"/>
    <w:rsid w:val="00EF6AA5"/>
    <w:rsid w:val="00EF7F09"/>
    <w:rsid w:val="00F016CA"/>
    <w:rsid w:val="00F016F3"/>
    <w:rsid w:val="00F01E4F"/>
    <w:rsid w:val="00F02189"/>
    <w:rsid w:val="00F0281E"/>
    <w:rsid w:val="00F04143"/>
    <w:rsid w:val="00F0482C"/>
    <w:rsid w:val="00F0740D"/>
    <w:rsid w:val="00F075C0"/>
    <w:rsid w:val="00F07750"/>
    <w:rsid w:val="00F07780"/>
    <w:rsid w:val="00F106C0"/>
    <w:rsid w:val="00F10988"/>
    <w:rsid w:val="00F12149"/>
    <w:rsid w:val="00F126D9"/>
    <w:rsid w:val="00F1300F"/>
    <w:rsid w:val="00F13587"/>
    <w:rsid w:val="00F156DE"/>
    <w:rsid w:val="00F16387"/>
    <w:rsid w:val="00F17B1E"/>
    <w:rsid w:val="00F17D47"/>
    <w:rsid w:val="00F203C7"/>
    <w:rsid w:val="00F210E0"/>
    <w:rsid w:val="00F215E0"/>
    <w:rsid w:val="00F21646"/>
    <w:rsid w:val="00F21917"/>
    <w:rsid w:val="00F23EB3"/>
    <w:rsid w:val="00F24203"/>
    <w:rsid w:val="00F24837"/>
    <w:rsid w:val="00F27A4B"/>
    <w:rsid w:val="00F27BB1"/>
    <w:rsid w:val="00F31DD6"/>
    <w:rsid w:val="00F32B0E"/>
    <w:rsid w:val="00F33DC4"/>
    <w:rsid w:val="00F356DB"/>
    <w:rsid w:val="00F35946"/>
    <w:rsid w:val="00F359C0"/>
    <w:rsid w:val="00F37DBE"/>
    <w:rsid w:val="00F401F9"/>
    <w:rsid w:val="00F4036B"/>
    <w:rsid w:val="00F423EB"/>
    <w:rsid w:val="00F42DEC"/>
    <w:rsid w:val="00F430AC"/>
    <w:rsid w:val="00F438E3"/>
    <w:rsid w:val="00F462D5"/>
    <w:rsid w:val="00F46975"/>
    <w:rsid w:val="00F477B9"/>
    <w:rsid w:val="00F50656"/>
    <w:rsid w:val="00F50663"/>
    <w:rsid w:val="00F506F4"/>
    <w:rsid w:val="00F5098F"/>
    <w:rsid w:val="00F53378"/>
    <w:rsid w:val="00F53604"/>
    <w:rsid w:val="00F549BC"/>
    <w:rsid w:val="00F54A39"/>
    <w:rsid w:val="00F54B2D"/>
    <w:rsid w:val="00F55625"/>
    <w:rsid w:val="00F55741"/>
    <w:rsid w:val="00F55FAE"/>
    <w:rsid w:val="00F56B65"/>
    <w:rsid w:val="00F575F5"/>
    <w:rsid w:val="00F60171"/>
    <w:rsid w:val="00F6086F"/>
    <w:rsid w:val="00F60924"/>
    <w:rsid w:val="00F613FA"/>
    <w:rsid w:val="00F6631F"/>
    <w:rsid w:val="00F709B4"/>
    <w:rsid w:val="00F70E60"/>
    <w:rsid w:val="00F71B37"/>
    <w:rsid w:val="00F72027"/>
    <w:rsid w:val="00F72112"/>
    <w:rsid w:val="00F723D6"/>
    <w:rsid w:val="00F724AB"/>
    <w:rsid w:val="00F738BF"/>
    <w:rsid w:val="00F739CF"/>
    <w:rsid w:val="00F75E3A"/>
    <w:rsid w:val="00F77DF0"/>
    <w:rsid w:val="00F77E87"/>
    <w:rsid w:val="00F806A9"/>
    <w:rsid w:val="00F80F0F"/>
    <w:rsid w:val="00F81620"/>
    <w:rsid w:val="00F81EA3"/>
    <w:rsid w:val="00F8217F"/>
    <w:rsid w:val="00F83113"/>
    <w:rsid w:val="00F83C22"/>
    <w:rsid w:val="00F84521"/>
    <w:rsid w:val="00F848CF"/>
    <w:rsid w:val="00F84EA8"/>
    <w:rsid w:val="00F85067"/>
    <w:rsid w:val="00F8510F"/>
    <w:rsid w:val="00F8551A"/>
    <w:rsid w:val="00F86B07"/>
    <w:rsid w:val="00F87451"/>
    <w:rsid w:val="00F906AB"/>
    <w:rsid w:val="00F91766"/>
    <w:rsid w:val="00F91A6E"/>
    <w:rsid w:val="00F9678F"/>
    <w:rsid w:val="00F96B7D"/>
    <w:rsid w:val="00F97388"/>
    <w:rsid w:val="00F97412"/>
    <w:rsid w:val="00FA0537"/>
    <w:rsid w:val="00FA0D1E"/>
    <w:rsid w:val="00FA1739"/>
    <w:rsid w:val="00FA1A05"/>
    <w:rsid w:val="00FA25EA"/>
    <w:rsid w:val="00FA2AC8"/>
    <w:rsid w:val="00FA2ECA"/>
    <w:rsid w:val="00FA2FA8"/>
    <w:rsid w:val="00FA4875"/>
    <w:rsid w:val="00FA65E5"/>
    <w:rsid w:val="00FA6A63"/>
    <w:rsid w:val="00FB0F17"/>
    <w:rsid w:val="00FB1348"/>
    <w:rsid w:val="00FB177B"/>
    <w:rsid w:val="00FB1EA0"/>
    <w:rsid w:val="00FB2144"/>
    <w:rsid w:val="00FB2DA4"/>
    <w:rsid w:val="00FB45C2"/>
    <w:rsid w:val="00FB6B51"/>
    <w:rsid w:val="00FB7052"/>
    <w:rsid w:val="00FC08E5"/>
    <w:rsid w:val="00FC2094"/>
    <w:rsid w:val="00FC2786"/>
    <w:rsid w:val="00FC36CB"/>
    <w:rsid w:val="00FC3779"/>
    <w:rsid w:val="00FC400D"/>
    <w:rsid w:val="00FC58AA"/>
    <w:rsid w:val="00FC789A"/>
    <w:rsid w:val="00FC7979"/>
    <w:rsid w:val="00FC7CE2"/>
    <w:rsid w:val="00FD0815"/>
    <w:rsid w:val="00FD1134"/>
    <w:rsid w:val="00FD1489"/>
    <w:rsid w:val="00FD15A5"/>
    <w:rsid w:val="00FD2169"/>
    <w:rsid w:val="00FD24D9"/>
    <w:rsid w:val="00FD2860"/>
    <w:rsid w:val="00FD2B4A"/>
    <w:rsid w:val="00FD43CA"/>
    <w:rsid w:val="00FD5879"/>
    <w:rsid w:val="00FD5ED5"/>
    <w:rsid w:val="00FD7C6C"/>
    <w:rsid w:val="00FE033E"/>
    <w:rsid w:val="00FE13C6"/>
    <w:rsid w:val="00FE23C6"/>
    <w:rsid w:val="00FE2E5D"/>
    <w:rsid w:val="00FE498A"/>
    <w:rsid w:val="00FE54A8"/>
    <w:rsid w:val="00FE6741"/>
    <w:rsid w:val="00FE6B1A"/>
    <w:rsid w:val="00FE6BC8"/>
    <w:rsid w:val="00FE7073"/>
    <w:rsid w:val="00FF06F9"/>
    <w:rsid w:val="00FF072F"/>
    <w:rsid w:val="00FF0FB4"/>
    <w:rsid w:val="00FF12B9"/>
    <w:rsid w:val="00FF18B0"/>
    <w:rsid w:val="00FF1A88"/>
    <w:rsid w:val="00FF2B2A"/>
    <w:rsid w:val="00FF2B97"/>
    <w:rsid w:val="00FF4BB6"/>
    <w:rsid w:val="00FF4E9F"/>
    <w:rsid w:val="00FF4EE6"/>
    <w:rsid w:val="00FF683E"/>
    <w:rsid w:val="0198569C"/>
    <w:rsid w:val="019D21B8"/>
    <w:rsid w:val="019F51E5"/>
    <w:rsid w:val="01A77CA2"/>
    <w:rsid w:val="01C97D90"/>
    <w:rsid w:val="01EE2233"/>
    <w:rsid w:val="02370032"/>
    <w:rsid w:val="023855D8"/>
    <w:rsid w:val="02DB608D"/>
    <w:rsid w:val="02F3777A"/>
    <w:rsid w:val="03105E9A"/>
    <w:rsid w:val="032F7504"/>
    <w:rsid w:val="0382186E"/>
    <w:rsid w:val="03A01483"/>
    <w:rsid w:val="03B67C76"/>
    <w:rsid w:val="03F42253"/>
    <w:rsid w:val="040D1E70"/>
    <w:rsid w:val="0435586E"/>
    <w:rsid w:val="04611584"/>
    <w:rsid w:val="0468560A"/>
    <w:rsid w:val="04717FC7"/>
    <w:rsid w:val="047C4C14"/>
    <w:rsid w:val="04856793"/>
    <w:rsid w:val="04A113A5"/>
    <w:rsid w:val="050D76F3"/>
    <w:rsid w:val="054C3958"/>
    <w:rsid w:val="05551886"/>
    <w:rsid w:val="05671C39"/>
    <w:rsid w:val="057E45D0"/>
    <w:rsid w:val="05BA574D"/>
    <w:rsid w:val="05BF7FAC"/>
    <w:rsid w:val="05F67880"/>
    <w:rsid w:val="05F8593C"/>
    <w:rsid w:val="06475819"/>
    <w:rsid w:val="06503EEC"/>
    <w:rsid w:val="067A2A50"/>
    <w:rsid w:val="06B37FBE"/>
    <w:rsid w:val="06D95094"/>
    <w:rsid w:val="06E22BD9"/>
    <w:rsid w:val="06E32567"/>
    <w:rsid w:val="0744506D"/>
    <w:rsid w:val="074C0E53"/>
    <w:rsid w:val="074D2DE5"/>
    <w:rsid w:val="07727FC2"/>
    <w:rsid w:val="07967B0A"/>
    <w:rsid w:val="07BF4B46"/>
    <w:rsid w:val="080F13F6"/>
    <w:rsid w:val="08B84CBC"/>
    <w:rsid w:val="08C21DEA"/>
    <w:rsid w:val="091478EF"/>
    <w:rsid w:val="09207FBB"/>
    <w:rsid w:val="09223CD6"/>
    <w:rsid w:val="0934265E"/>
    <w:rsid w:val="098451F3"/>
    <w:rsid w:val="098B2CC4"/>
    <w:rsid w:val="09B40137"/>
    <w:rsid w:val="09C40713"/>
    <w:rsid w:val="09D91BF4"/>
    <w:rsid w:val="09E06F1A"/>
    <w:rsid w:val="09F90622"/>
    <w:rsid w:val="0A2873F8"/>
    <w:rsid w:val="0A2F27BA"/>
    <w:rsid w:val="0A3318C7"/>
    <w:rsid w:val="0A4F3BAF"/>
    <w:rsid w:val="0A9C5549"/>
    <w:rsid w:val="0AC220F4"/>
    <w:rsid w:val="0B020D62"/>
    <w:rsid w:val="0B1D5C65"/>
    <w:rsid w:val="0B763E01"/>
    <w:rsid w:val="0B7819E0"/>
    <w:rsid w:val="0BE114CF"/>
    <w:rsid w:val="0C1131D8"/>
    <w:rsid w:val="0C1B7B77"/>
    <w:rsid w:val="0C1E34E1"/>
    <w:rsid w:val="0C454B48"/>
    <w:rsid w:val="0D05675C"/>
    <w:rsid w:val="0D0608AB"/>
    <w:rsid w:val="0D083FB4"/>
    <w:rsid w:val="0D1F25C2"/>
    <w:rsid w:val="0D1F5F6F"/>
    <w:rsid w:val="0D363097"/>
    <w:rsid w:val="0D921D8F"/>
    <w:rsid w:val="0E917CAB"/>
    <w:rsid w:val="0E954E7E"/>
    <w:rsid w:val="0EA844B9"/>
    <w:rsid w:val="0EF07295"/>
    <w:rsid w:val="0EF10C13"/>
    <w:rsid w:val="0EF64483"/>
    <w:rsid w:val="0F116B5A"/>
    <w:rsid w:val="0F6264A7"/>
    <w:rsid w:val="0F9223FC"/>
    <w:rsid w:val="0F9E08D8"/>
    <w:rsid w:val="0FAB68C5"/>
    <w:rsid w:val="0FB020F3"/>
    <w:rsid w:val="0FE81E2C"/>
    <w:rsid w:val="0FF173A6"/>
    <w:rsid w:val="0FF93BD4"/>
    <w:rsid w:val="10BA7A9A"/>
    <w:rsid w:val="10E55ACF"/>
    <w:rsid w:val="111A451D"/>
    <w:rsid w:val="11436E75"/>
    <w:rsid w:val="1155646F"/>
    <w:rsid w:val="11BE722A"/>
    <w:rsid w:val="11D348F2"/>
    <w:rsid w:val="11D673FE"/>
    <w:rsid w:val="11F030D8"/>
    <w:rsid w:val="121E0F6C"/>
    <w:rsid w:val="123C273A"/>
    <w:rsid w:val="125C1586"/>
    <w:rsid w:val="12822C7D"/>
    <w:rsid w:val="132D0579"/>
    <w:rsid w:val="13B360A9"/>
    <w:rsid w:val="13EF1367"/>
    <w:rsid w:val="14206758"/>
    <w:rsid w:val="14264F69"/>
    <w:rsid w:val="14663C85"/>
    <w:rsid w:val="148A2BC7"/>
    <w:rsid w:val="14B24220"/>
    <w:rsid w:val="150E3EA3"/>
    <w:rsid w:val="15230EED"/>
    <w:rsid w:val="15392139"/>
    <w:rsid w:val="153F1441"/>
    <w:rsid w:val="155721E7"/>
    <w:rsid w:val="156051A2"/>
    <w:rsid w:val="15652DAA"/>
    <w:rsid w:val="158A2D44"/>
    <w:rsid w:val="15922776"/>
    <w:rsid w:val="15F73A48"/>
    <w:rsid w:val="16066587"/>
    <w:rsid w:val="16122E84"/>
    <w:rsid w:val="167875EF"/>
    <w:rsid w:val="16980A2A"/>
    <w:rsid w:val="16BD7A09"/>
    <w:rsid w:val="16FD38E6"/>
    <w:rsid w:val="170B10FE"/>
    <w:rsid w:val="172134D1"/>
    <w:rsid w:val="17316275"/>
    <w:rsid w:val="17715B75"/>
    <w:rsid w:val="179E4EFF"/>
    <w:rsid w:val="17C1658D"/>
    <w:rsid w:val="17DD256D"/>
    <w:rsid w:val="18207EC8"/>
    <w:rsid w:val="18572461"/>
    <w:rsid w:val="186D2598"/>
    <w:rsid w:val="189648B4"/>
    <w:rsid w:val="18F10E12"/>
    <w:rsid w:val="19002698"/>
    <w:rsid w:val="1926420A"/>
    <w:rsid w:val="192E66E1"/>
    <w:rsid w:val="199A63DD"/>
    <w:rsid w:val="19DB6462"/>
    <w:rsid w:val="1A881510"/>
    <w:rsid w:val="1AFA76DA"/>
    <w:rsid w:val="1B0F329D"/>
    <w:rsid w:val="1B1A5867"/>
    <w:rsid w:val="1B382C72"/>
    <w:rsid w:val="1B4755B0"/>
    <w:rsid w:val="1B6B6134"/>
    <w:rsid w:val="1BA32D12"/>
    <w:rsid w:val="1BAC0B6B"/>
    <w:rsid w:val="1BB446B9"/>
    <w:rsid w:val="1BE86387"/>
    <w:rsid w:val="1C0A3092"/>
    <w:rsid w:val="1C276FFB"/>
    <w:rsid w:val="1C4B016F"/>
    <w:rsid w:val="1C80443B"/>
    <w:rsid w:val="1CA90AAF"/>
    <w:rsid w:val="1CB369A2"/>
    <w:rsid w:val="1D8420C5"/>
    <w:rsid w:val="1DF77AA7"/>
    <w:rsid w:val="1E146797"/>
    <w:rsid w:val="1E305D33"/>
    <w:rsid w:val="1E486B0B"/>
    <w:rsid w:val="1E796393"/>
    <w:rsid w:val="1E7D5094"/>
    <w:rsid w:val="1E8B7F21"/>
    <w:rsid w:val="1E9C25E5"/>
    <w:rsid w:val="1EA2602D"/>
    <w:rsid w:val="1EB0786E"/>
    <w:rsid w:val="1F6C7F85"/>
    <w:rsid w:val="1F8D0609"/>
    <w:rsid w:val="1FD22D92"/>
    <w:rsid w:val="1FDC4C51"/>
    <w:rsid w:val="1FE801E9"/>
    <w:rsid w:val="1FF35E35"/>
    <w:rsid w:val="20464C58"/>
    <w:rsid w:val="205674A7"/>
    <w:rsid w:val="20667DE2"/>
    <w:rsid w:val="208A6F6A"/>
    <w:rsid w:val="20A81561"/>
    <w:rsid w:val="20BB471F"/>
    <w:rsid w:val="21405B9D"/>
    <w:rsid w:val="215043A8"/>
    <w:rsid w:val="21530189"/>
    <w:rsid w:val="21B10A39"/>
    <w:rsid w:val="21B81C30"/>
    <w:rsid w:val="21BC739E"/>
    <w:rsid w:val="21C83ECE"/>
    <w:rsid w:val="21E464DA"/>
    <w:rsid w:val="220379D8"/>
    <w:rsid w:val="22AE7F72"/>
    <w:rsid w:val="22B32C21"/>
    <w:rsid w:val="22BB4077"/>
    <w:rsid w:val="22D075AD"/>
    <w:rsid w:val="23383A5C"/>
    <w:rsid w:val="23906366"/>
    <w:rsid w:val="23B107E7"/>
    <w:rsid w:val="23B27B4C"/>
    <w:rsid w:val="23CD3D7E"/>
    <w:rsid w:val="23DD3D37"/>
    <w:rsid w:val="23EC7071"/>
    <w:rsid w:val="24231158"/>
    <w:rsid w:val="24290AE3"/>
    <w:rsid w:val="242C3D36"/>
    <w:rsid w:val="24435E0A"/>
    <w:rsid w:val="246D6E11"/>
    <w:rsid w:val="24D71F01"/>
    <w:rsid w:val="24DC6388"/>
    <w:rsid w:val="24ED40A4"/>
    <w:rsid w:val="24FA56E8"/>
    <w:rsid w:val="2536069B"/>
    <w:rsid w:val="254F02CE"/>
    <w:rsid w:val="257504C6"/>
    <w:rsid w:val="2576592C"/>
    <w:rsid w:val="2579454A"/>
    <w:rsid w:val="25B32729"/>
    <w:rsid w:val="25CA65D2"/>
    <w:rsid w:val="26086AC6"/>
    <w:rsid w:val="26146634"/>
    <w:rsid w:val="262E4B1E"/>
    <w:rsid w:val="26490F70"/>
    <w:rsid w:val="26945630"/>
    <w:rsid w:val="26B306D1"/>
    <w:rsid w:val="26B560F4"/>
    <w:rsid w:val="26C72E54"/>
    <w:rsid w:val="276D39C3"/>
    <w:rsid w:val="2778644D"/>
    <w:rsid w:val="27832074"/>
    <w:rsid w:val="279344E3"/>
    <w:rsid w:val="27BA6479"/>
    <w:rsid w:val="280A2F35"/>
    <w:rsid w:val="281E2AB5"/>
    <w:rsid w:val="281F58D1"/>
    <w:rsid w:val="28600DCC"/>
    <w:rsid w:val="28610A1A"/>
    <w:rsid w:val="289A6B28"/>
    <w:rsid w:val="28F04B5E"/>
    <w:rsid w:val="290723AC"/>
    <w:rsid w:val="293163E3"/>
    <w:rsid w:val="294231F3"/>
    <w:rsid w:val="295F0B2D"/>
    <w:rsid w:val="2984116F"/>
    <w:rsid w:val="299F2D7A"/>
    <w:rsid w:val="29B34495"/>
    <w:rsid w:val="29BF2983"/>
    <w:rsid w:val="29C049B4"/>
    <w:rsid w:val="29D741B2"/>
    <w:rsid w:val="29D97CA1"/>
    <w:rsid w:val="2A0A42E6"/>
    <w:rsid w:val="2A5430F7"/>
    <w:rsid w:val="2A7C27B8"/>
    <w:rsid w:val="2A8E4309"/>
    <w:rsid w:val="2AA67166"/>
    <w:rsid w:val="2ACB0EB9"/>
    <w:rsid w:val="2B047C41"/>
    <w:rsid w:val="2B536F21"/>
    <w:rsid w:val="2B873EF8"/>
    <w:rsid w:val="2B8C0380"/>
    <w:rsid w:val="2BA13511"/>
    <w:rsid w:val="2BA17CDC"/>
    <w:rsid w:val="2BBA1A67"/>
    <w:rsid w:val="2BCB3405"/>
    <w:rsid w:val="2BCD35E9"/>
    <w:rsid w:val="2BF40797"/>
    <w:rsid w:val="2C27608E"/>
    <w:rsid w:val="2C2E598B"/>
    <w:rsid w:val="2C3C2722"/>
    <w:rsid w:val="2C51752B"/>
    <w:rsid w:val="2C7B637D"/>
    <w:rsid w:val="2C8E388B"/>
    <w:rsid w:val="2CC304A9"/>
    <w:rsid w:val="2CD72E09"/>
    <w:rsid w:val="2CDC7438"/>
    <w:rsid w:val="2D2910A6"/>
    <w:rsid w:val="2D554203"/>
    <w:rsid w:val="2D6F33C4"/>
    <w:rsid w:val="2D845CE8"/>
    <w:rsid w:val="2DCE3686"/>
    <w:rsid w:val="2DD508BC"/>
    <w:rsid w:val="2DD97BC5"/>
    <w:rsid w:val="2E0F02B2"/>
    <w:rsid w:val="2E3C78F5"/>
    <w:rsid w:val="2E591811"/>
    <w:rsid w:val="2E5B7AB7"/>
    <w:rsid w:val="2E7867C9"/>
    <w:rsid w:val="2E79424B"/>
    <w:rsid w:val="2E976DAE"/>
    <w:rsid w:val="2E9F5E52"/>
    <w:rsid w:val="2ECD54C5"/>
    <w:rsid w:val="2F783D8C"/>
    <w:rsid w:val="2F9B2DEA"/>
    <w:rsid w:val="2FD7548C"/>
    <w:rsid w:val="2FE87441"/>
    <w:rsid w:val="2FF413E7"/>
    <w:rsid w:val="2FFB21C9"/>
    <w:rsid w:val="30165743"/>
    <w:rsid w:val="301E0463"/>
    <w:rsid w:val="303446B2"/>
    <w:rsid w:val="305D5042"/>
    <w:rsid w:val="309E3BD0"/>
    <w:rsid w:val="30A70987"/>
    <w:rsid w:val="30E730CB"/>
    <w:rsid w:val="30F36EDD"/>
    <w:rsid w:val="30F82A10"/>
    <w:rsid w:val="31054E0A"/>
    <w:rsid w:val="31146204"/>
    <w:rsid w:val="31666751"/>
    <w:rsid w:val="316A7FFB"/>
    <w:rsid w:val="31A207F0"/>
    <w:rsid w:val="31AA1CD2"/>
    <w:rsid w:val="31F153C2"/>
    <w:rsid w:val="32135324"/>
    <w:rsid w:val="32412F57"/>
    <w:rsid w:val="327F2151"/>
    <w:rsid w:val="329A7031"/>
    <w:rsid w:val="32D14593"/>
    <w:rsid w:val="32F74A2C"/>
    <w:rsid w:val="33162C3D"/>
    <w:rsid w:val="332517BA"/>
    <w:rsid w:val="335A1372"/>
    <w:rsid w:val="337C4AB9"/>
    <w:rsid w:val="33827CD3"/>
    <w:rsid w:val="3387008D"/>
    <w:rsid w:val="33A806D0"/>
    <w:rsid w:val="33BB24DA"/>
    <w:rsid w:val="33CB64C0"/>
    <w:rsid w:val="33E712BD"/>
    <w:rsid w:val="33F93952"/>
    <w:rsid w:val="33FA3A87"/>
    <w:rsid w:val="33FC0085"/>
    <w:rsid w:val="34221E92"/>
    <w:rsid w:val="34591CB0"/>
    <w:rsid w:val="346202B8"/>
    <w:rsid w:val="34766305"/>
    <w:rsid w:val="34A866C8"/>
    <w:rsid w:val="34E31682"/>
    <w:rsid w:val="34EA1CA9"/>
    <w:rsid w:val="35323CCC"/>
    <w:rsid w:val="356C4F47"/>
    <w:rsid w:val="359B21D9"/>
    <w:rsid w:val="35C94BEE"/>
    <w:rsid w:val="36066BAA"/>
    <w:rsid w:val="360B4637"/>
    <w:rsid w:val="362D57BE"/>
    <w:rsid w:val="3631602F"/>
    <w:rsid w:val="36574750"/>
    <w:rsid w:val="36975CF7"/>
    <w:rsid w:val="36E800CE"/>
    <w:rsid w:val="36E8544B"/>
    <w:rsid w:val="36EE478D"/>
    <w:rsid w:val="37215F74"/>
    <w:rsid w:val="3725522E"/>
    <w:rsid w:val="374F753C"/>
    <w:rsid w:val="375458D3"/>
    <w:rsid w:val="377266E1"/>
    <w:rsid w:val="378D5278"/>
    <w:rsid w:val="37CD046D"/>
    <w:rsid w:val="37FC2E67"/>
    <w:rsid w:val="38170738"/>
    <w:rsid w:val="38247DFB"/>
    <w:rsid w:val="384211BB"/>
    <w:rsid w:val="386716FF"/>
    <w:rsid w:val="387B55F6"/>
    <w:rsid w:val="389169DE"/>
    <w:rsid w:val="389272E0"/>
    <w:rsid w:val="38B35778"/>
    <w:rsid w:val="38B37C6D"/>
    <w:rsid w:val="38BB5007"/>
    <w:rsid w:val="38CB2E2A"/>
    <w:rsid w:val="38CC32A3"/>
    <w:rsid w:val="38FB7279"/>
    <w:rsid w:val="39006B4A"/>
    <w:rsid w:val="392D2653"/>
    <w:rsid w:val="39386D6D"/>
    <w:rsid w:val="39424B74"/>
    <w:rsid w:val="395F051D"/>
    <w:rsid w:val="39AA7D5B"/>
    <w:rsid w:val="39E470D7"/>
    <w:rsid w:val="39E954BD"/>
    <w:rsid w:val="3A2D4EE5"/>
    <w:rsid w:val="3A766678"/>
    <w:rsid w:val="3A7A287E"/>
    <w:rsid w:val="3A806962"/>
    <w:rsid w:val="3AA32BD7"/>
    <w:rsid w:val="3ACF690F"/>
    <w:rsid w:val="3AD372F6"/>
    <w:rsid w:val="3AE21C51"/>
    <w:rsid w:val="3AEA1FB6"/>
    <w:rsid w:val="3BA373A8"/>
    <w:rsid w:val="3BB93A61"/>
    <w:rsid w:val="3BBA39C2"/>
    <w:rsid w:val="3BDF59BB"/>
    <w:rsid w:val="3BEF200B"/>
    <w:rsid w:val="3C09602C"/>
    <w:rsid w:val="3C287D1B"/>
    <w:rsid w:val="3C5500C5"/>
    <w:rsid w:val="3C5916E2"/>
    <w:rsid w:val="3C741B26"/>
    <w:rsid w:val="3C893E03"/>
    <w:rsid w:val="3C9153BA"/>
    <w:rsid w:val="3CBE5BE4"/>
    <w:rsid w:val="3CBF66BA"/>
    <w:rsid w:val="3CD44BD2"/>
    <w:rsid w:val="3CE65A81"/>
    <w:rsid w:val="3D1F0A4A"/>
    <w:rsid w:val="3D326D7A"/>
    <w:rsid w:val="3D3C3272"/>
    <w:rsid w:val="3D5E22F7"/>
    <w:rsid w:val="3DB52847"/>
    <w:rsid w:val="3DB73ABE"/>
    <w:rsid w:val="3DEA1701"/>
    <w:rsid w:val="3DEC0025"/>
    <w:rsid w:val="3DEC0B66"/>
    <w:rsid w:val="3E0848FF"/>
    <w:rsid w:val="3E0F3349"/>
    <w:rsid w:val="3E0F6C00"/>
    <w:rsid w:val="3E167EC8"/>
    <w:rsid w:val="3E177435"/>
    <w:rsid w:val="3E2B5513"/>
    <w:rsid w:val="3E3736AD"/>
    <w:rsid w:val="3E5A3EDC"/>
    <w:rsid w:val="3E992F91"/>
    <w:rsid w:val="3EE46F49"/>
    <w:rsid w:val="3EF66D45"/>
    <w:rsid w:val="3F0739FF"/>
    <w:rsid w:val="3F60143E"/>
    <w:rsid w:val="3F805372"/>
    <w:rsid w:val="400C38A3"/>
    <w:rsid w:val="40107C47"/>
    <w:rsid w:val="40657668"/>
    <w:rsid w:val="409B67FE"/>
    <w:rsid w:val="409C0254"/>
    <w:rsid w:val="40B3336F"/>
    <w:rsid w:val="40C6411E"/>
    <w:rsid w:val="410A2F24"/>
    <w:rsid w:val="41251352"/>
    <w:rsid w:val="413B4EF6"/>
    <w:rsid w:val="418B160A"/>
    <w:rsid w:val="41C602F5"/>
    <w:rsid w:val="41C85FE0"/>
    <w:rsid w:val="41D8462D"/>
    <w:rsid w:val="42381F0B"/>
    <w:rsid w:val="4247207A"/>
    <w:rsid w:val="4260438F"/>
    <w:rsid w:val="427B7FC1"/>
    <w:rsid w:val="427D0A83"/>
    <w:rsid w:val="42B84786"/>
    <w:rsid w:val="42C81F25"/>
    <w:rsid w:val="430E0591"/>
    <w:rsid w:val="432A007D"/>
    <w:rsid w:val="43376858"/>
    <w:rsid w:val="43812C74"/>
    <w:rsid w:val="43831666"/>
    <w:rsid w:val="43936DF7"/>
    <w:rsid w:val="43A74BCB"/>
    <w:rsid w:val="43E73B41"/>
    <w:rsid w:val="43ED4DDE"/>
    <w:rsid w:val="43EE32E6"/>
    <w:rsid w:val="43F93346"/>
    <w:rsid w:val="44140EAA"/>
    <w:rsid w:val="444A10E0"/>
    <w:rsid w:val="444D487C"/>
    <w:rsid w:val="445517BA"/>
    <w:rsid w:val="4470179E"/>
    <w:rsid w:val="44F853DC"/>
    <w:rsid w:val="450131E5"/>
    <w:rsid w:val="451942DD"/>
    <w:rsid w:val="45236551"/>
    <w:rsid w:val="452573B0"/>
    <w:rsid w:val="4531446C"/>
    <w:rsid w:val="458F1C82"/>
    <w:rsid w:val="45A32BCF"/>
    <w:rsid w:val="45A44DCD"/>
    <w:rsid w:val="45B05AD1"/>
    <w:rsid w:val="45DE30FC"/>
    <w:rsid w:val="45E03C8D"/>
    <w:rsid w:val="46064560"/>
    <w:rsid w:val="462E5EEB"/>
    <w:rsid w:val="4646145F"/>
    <w:rsid w:val="46503A49"/>
    <w:rsid w:val="46613824"/>
    <w:rsid w:val="466325D2"/>
    <w:rsid w:val="468D378C"/>
    <w:rsid w:val="46A26BC0"/>
    <w:rsid w:val="472D4CF6"/>
    <w:rsid w:val="476A3C1A"/>
    <w:rsid w:val="4770302A"/>
    <w:rsid w:val="47740445"/>
    <w:rsid w:val="47C0041A"/>
    <w:rsid w:val="47D45C9A"/>
    <w:rsid w:val="47E94B05"/>
    <w:rsid w:val="47F36945"/>
    <w:rsid w:val="47F63440"/>
    <w:rsid w:val="484740A8"/>
    <w:rsid w:val="48734BE1"/>
    <w:rsid w:val="487D3F41"/>
    <w:rsid w:val="48A87B94"/>
    <w:rsid w:val="48CA60B4"/>
    <w:rsid w:val="48EC13B2"/>
    <w:rsid w:val="48F26E1F"/>
    <w:rsid w:val="48FF1AD9"/>
    <w:rsid w:val="49561C1C"/>
    <w:rsid w:val="495A5F98"/>
    <w:rsid w:val="49675A1A"/>
    <w:rsid w:val="49796A18"/>
    <w:rsid w:val="497A2F9B"/>
    <w:rsid w:val="49D822B4"/>
    <w:rsid w:val="49DA6DFC"/>
    <w:rsid w:val="49DE36B2"/>
    <w:rsid w:val="4A1A78ED"/>
    <w:rsid w:val="4A2D4D4F"/>
    <w:rsid w:val="4A917848"/>
    <w:rsid w:val="4AAA0106"/>
    <w:rsid w:val="4AB1581B"/>
    <w:rsid w:val="4ACC6BB3"/>
    <w:rsid w:val="4ACD77C9"/>
    <w:rsid w:val="4AF26284"/>
    <w:rsid w:val="4B1D5AB5"/>
    <w:rsid w:val="4B5209F3"/>
    <w:rsid w:val="4BDD39A5"/>
    <w:rsid w:val="4BEA3E95"/>
    <w:rsid w:val="4C00513D"/>
    <w:rsid w:val="4C025383"/>
    <w:rsid w:val="4C0435AC"/>
    <w:rsid w:val="4C426A60"/>
    <w:rsid w:val="4C4F7949"/>
    <w:rsid w:val="4C875326"/>
    <w:rsid w:val="4C88415F"/>
    <w:rsid w:val="4C892DD7"/>
    <w:rsid w:val="4C992DAF"/>
    <w:rsid w:val="4C9B567F"/>
    <w:rsid w:val="4CC1157E"/>
    <w:rsid w:val="4CD90D2F"/>
    <w:rsid w:val="4D9200E8"/>
    <w:rsid w:val="4D95683A"/>
    <w:rsid w:val="4DA6150B"/>
    <w:rsid w:val="4DBF3E19"/>
    <w:rsid w:val="4DDC2168"/>
    <w:rsid w:val="4E0C2E9B"/>
    <w:rsid w:val="4E3532F4"/>
    <w:rsid w:val="4E781A75"/>
    <w:rsid w:val="4EAC4098"/>
    <w:rsid w:val="4EE05822"/>
    <w:rsid w:val="4EF7020E"/>
    <w:rsid w:val="4F4727FE"/>
    <w:rsid w:val="4F73505B"/>
    <w:rsid w:val="4F856C7E"/>
    <w:rsid w:val="4F8C5E9D"/>
    <w:rsid w:val="4FBB22B6"/>
    <w:rsid w:val="4FCE2830"/>
    <w:rsid w:val="4FD47FCA"/>
    <w:rsid w:val="50025A88"/>
    <w:rsid w:val="504C026E"/>
    <w:rsid w:val="506A0CDB"/>
    <w:rsid w:val="507A5BD7"/>
    <w:rsid w:val="509A584B"/>
    <w:rsid w:val="50A61790"/>
    <w:rsid w:val="50B61FEE"/>
    <w:rsid w:val="50BA2C10"/>
    <w:rsid w:val="50BE4C74"/>
    <w:rsid w:val="50CB7791"/>
    <w:rsid w:val="50E53426"/>
    <w:rsid w:val="511542C8"/>
    <w:rsid w:val="51267C4C"/>
    <w:rsid w:val="513E0CC7"/>
    <w:rsid w:val="519A2E51"/>
    <w:rsid w:val="51AA5AFB"/>
    <w:rsid w:val="51BC27B0"/>
    <w:rsid w:val="51DC754F"/>
    <w:rsid w:val="51E503A4"/>
    <w:rsid w:val="522E7E35"/>
    <w:rsid w:val="522F1165"/>
    <w:rsid w:val="5260139D"/>
    <w:rsid w:val="526A60C9"/>
    <w:rsid w:val="52A6080A"/>
    <w:rsid w:val="52DE3525"/>
    <w:rsid w:val="52F37A7E"/>
    <w:rsid w:val="532605FE"/>
    <w:rsid w:val="534013D3"/>
    <w:rsid w:val="537B2198"/>
    <w:rsid w:val="53982CB5"/>
    <w:rsid w:val="53C1594C"/>
    <w:rsid w:val="541B7A0B"/>
    <w:rsid w:val="544F1FE3"/>
    <w:rsid w:val="5469336C"/>
    <w:rsid w:val="5479567D"/>
    <w:rsid w:val="54983006"/>
    <w:rsid w:val="54CD26DC"/>
    <w:rsid w:val="55100F3D"/>
    <w:rsid w:val="5521466C"/>
    <w:rsid w:val="553C3366"/>
    <w:rsid w:val="55732CF6"/>
    <w:rsid w:val="55A92695"/>
    <w:rsid w:val="560D3B4E"/>
    <w:rsid w:val="564B1F53"/>
    <w:rsid w:val="564D66AA"/>
    <w:rsid w:val="56836478"/>
    <w:rsid w:val="56AC70B3"/>
    <w:rsid w:val="56B21768"/>
    <w:rsid w:val="56E94652"/>
    <w:rsid w:val="57030BD5"/>
    <w:rsid w:val="57380EEF"/>
    <w:rsid w:val="576176AA"/>
    <w:rsid w:val="57645A2E"/>
    <w:rsid w:val="57762E8E"/>
    <w:rsid w:val="578B3880"/>
    <w:rsid w:val="57C434B7"/>
    <w:rsid w:val="57CA1416"/>
    <w:rsid w:val="57E84B4C"/>
    <w:rsid w:val="581D264C"/>
    <w:rsid w:val="586F66D6"/>
    <w:rsid w:val="58742C84"/>
    <w:rsid w:val="58A65354"/>
    <w:rsid w:val="58C55ADB"/>
    <w:rsid w:val="58C8623B"/>
    <w:rsid w:val="591536C1"/>
    <w:rsid w:val="59552AD3"/>
    <w:rsid w:val="597634BC"/>
    <w:rsid w:val="5A1769F2"/>
    <w:rsid w:val="5A79179C"/>
    <w:rsid w:val="5A7D380F"/>
    <w:rsid w:val="5AB16C21"/>
    <w:rsid w:val="5AB86FE7"/>
    <w:rsid w:val="5AC66451"/>
    <w:rsid w:val="5ACC69B8"/>
    <w:rsid w:val="5AD173B5"/>
    <w:rsid w:val="5AF36658"/>
    <w:rsid w:val="5AF4422B"/>
    <w:rsid w:val="5AFE4C96"/>
    <w:rsid w:val="5B730F17"/>
    <w:rsid w:val="5B7B1236"/>
    <w:rsid w:val="5B957F1C"/>
    <w:rsid w:val="5BA11BE8"/>
    <w:rsid w:val="5BB43102"/>
    <w:rsid w:val="5BBB130B"/>
    <w:rsid w:val="5BD55C6A"/>
    <w:rsid w:val="5C744E01"/>
    <w:rsid w:val="5CD535D0"/>
    <w:rsid w:val="5CD652DB"/>
    <w:rsid w:val="5CEE06DF"/>
    <w:rsid w:val="5CF8187F"/>
    <w:rsid w:val="5D063D96"/>
    <w:rsid w:val="5D5D0C42"/>
    <w:rsid w:val="5DA62130"/>
    <w:rsid w:val="5DAF2A40"/>
    <w:rsid w:val="5DEA0B28"/>
    <w:rsid w:val="5DF070C8"/>
    <w:rsid w:val="5E187442"/>
    <w:rsid w:val="5E443BCE"/>
    <w:rsid w:val="5E6214C3"/>
    <w:rsid w:val="5E674F7A"/>
    <w:rsid w:val="5E714CB3"/>
    <w:rsid w:val="5E791178"/>
    <w:rsid w:val="5EAF150A"/>
    <w:rsid w:val="5F0F7C50"/>
    <w:rsid w:val="5FA84DEE"/>
    <w:rsid w:val="5FB44AA0"/>
    <w:rsid w:val="5FFC1656"/>
    <w:rsid w:val="600D28FE"/>
    <w:rsid w:val="60437FB3"/>
    <w:rsid w:val="60642034"/>
    <w:rsid w:val="606B077F"/>
    <w:rsid w:val="60733F65"/>
    <w:rsid w:val="607D18D9"/>
    <w:rsid w:val="607F0290"/>
    <w:rsid w:val="60BB71C0"/>
    <w:rsid w:val="60BF2710"/>
    <w:rsid w:val="60F802B5"/>
    <w:rsid w:val="610D745B"/>
    <w:rsid w:val="612620F2"/>
    <w:rsid w:val="61396955"/>
    <w:rsid w:val="61494699"/>
    <w:rsid w:val="61811860"/>
    <w:rsid w:val="61A93DCC"/>
    <w:rsid w:val="61B53912"/>
    <w:rsid w:val="61DC133E"/>
    <w:rsid w:val="61EE6E14"/>
    <w:rsid w:val="61F93E33"/>
    <w:rsid w:val="62030149"/>
    <w:rsid w:val="623A2FE4"/>
    <w:rsid w:val="623B2665"/>
    <w:rsid w:val="623B6840"/>
    <w:rsid w:val="62425DF2"/>
    <w:rsid w:val="62731D94"/>
    <w:rsid w:val="627A3EAC"/>
    <w:rsid w:val="629946DD"/>
    <w:rsid w:val="62BE22D8"/>
    <w:rsid w:val="62C06CBF"/>
    <w:rsid w:val="62C4244E"/>
    <w:rsid w:val="62E21E31"/>
    <w:rsid w:val="62FE65E9"/>
    <w:rsid w:val="632415B7"/>
    <w:rsid w:val="63433210"/>
    <w:rsid w:val="63ED5D7D"/>
    <w:rsid w:val="63F31931"/>
    <w:rsid w:val="63FB5B09"/>
    <w:rsid w:val="63FF46D5"/>
    <w:rsid w:val="64872B3A"/>
    <w:rsid w:val="64A01153"/>
    <w:rsid w:val="64AA5A0F"/>
    <w:rsid w:val="65145F61"/>
    <w:rsid w:val="652F62B2"/>
    <w:rsid w:val="65314CDC"/>
    <w:rsid w:val="65834E5D"/>
    <w:rsid w:val="65C73CC9"/>
    <w:rsid w:val="65EF28CF"/>
    <w:rsid w:val="660261FB"/>
    <w:rsid w:val="66661AB5"/>
    <w:rsid w:val="668B361C"/>
    <w:rsid w:val="66CB3339"/>
    <w:rsid w:val="66DE684B"/>
    <w:rsid w:val="6701538B"/>
    <w:rsid w:val="67421966"/>
    <w:rsid w:val="674C3C22"/>
    <w:rsid w:val="6767609D"/>
    <w:rsid w:val="67815161"/>
    <w:rsid w:val="679C2A4F"/>
    <w:rsid w:val="67B4299D"/>
    <w:rsid w:val="67BF75F1"/>
    <w:rsid w:val="685B2144"/>
    <w:rsid w:val="685E5029"/>
    <w:rsid w:val="68926CF0"/>
    <w:rsid w:val="689C7DC4"/>
    <w:rsid w:val="68BD4138"/>
    <w:rsid w:val="68DF1636"/>
    <w:rsid w:val="68F25577"/>
    <w:rsid w:val="69253E50"/>
    <w:rsid w:val="69367DF4"/>
    <w:rsid w:val="695F2CF2"/>
    <w:rsid w:val="697111FB"/>
    <w:rsid w:val="69771617"/>
    <w:rsid w:val="69B226F6"/>
    <w:rsid w:val="69C95392"/>
    <w:rsid w:val="69E74FC7"/>
    <w:rsid w:val="69EF255B"/>
    <w:rsid w:val="6A061A21"/>
    <w:rsid w:val="6A691709"/>
    <w:rsid w:val="6A8F179C"/>
    <w:rsid w:val="6AD91623"/>
    <w:rsid w:val="6AF7208C"/>
    <w:rsid w:val="6B2D5466"/>
    <w:rsid w:val="6B3D672B"/>
    <w:rsid w:val="6B540EFE"/>
    <w:rsid w:val="6B7B4240"/>
    <w:rsid w:val="6B93084E"/>
    <w:rsid w:val="6B9A4A30"/>
    <w:rsid w:val="6BC17857"/>
    <w:rsid w:val="6BE95A5E"/>
    <w:rsid w:val="6C256C69"/>
    <w:rsid w:val="6C3D7821"/>
    <w:rsid w:val="6C3F2A33"/>
    <w:rsid w:val="6C9D2124"/>
    <w:rsid w:val="6CC23729"/>
    <w:rsid w:val="6CC64B8A"/>
    <w:rsid w:val="6D0A5A49"/>
    <w:rsid w:val="6D0D3D19"/>
    <w:rsid w:val="6D1850BC"/>
    <w:rsid w:val="6D3B484F"/>
    <w:rsid w:val="6D4908D6"/>
    <w:rsid w:val="6DDC1DC1"/>
    <w:rsid w:val="6E5F3E90"/>
    <w:rsid w:val="6E794BCD"/>
    <w:rsid w:val="6EF80849"/>
    <w:rsid w:val="6EFB4DCB"/>
    <w:rsid w:val="6F27077B"/>
    <w:rsid w:val="6F403B28"/>
    <w:rsid w:val="6F594D6F"/>
    <w:rsid w:val="6F7121F2"/>
    <w:rsid w:val="6F9D0191"/>
    <w:rsid w:val="6FBA3F1E"/>
    <w:rsid w:val="70932BCA"/>
    <w:rsid w:val="70B0102E"/>
    <w:rsid w:val="70C32DB5"/>
    <w:rsid w:val="710B0B0B"/>
    <w:rsid w:val="712C7DC8"/>
    <w:rsid w:val="714B7382"/>
    <w:rsid w:val="715D0235"/>
    <w:rsid w:val="71E5266B"/>
    <w:rsid w:val="71F50096"/>
    <w:rsid w:val="72061303"/>
    <w:rsid w:val="720F3574"/>
    <w:rsid w:val="723F5D8C"/>
    <w:rsid w:val="7265643D"/>
    <w:rsid w:val="72990ADE"/>
    <w:rsid w:val="72ED674C"/>
    <w:rsid w:val="730E5927"/>
    <w:rsid w:val="731D3349"/>
    <w:rsid w:val="732F6C8F"/>
    <w:rsid w:val="73352933"/>
    <w:rsid w:val="73607959"/>
    <w:rsid w:val="73777ED7"/>
    <w:rsid w:val="738058E6"/>
    <w:rsid w:val="73A90ADD"/>
    <w:rsid w:val="73AF3723"/>
    <w:rsid w:val="73B16F51"/>
    <w:rsid w:val="73E8789D"/>
    <w:rsid w:val="740238DF"/>
    <w:rsid w:val="74163E96"/>
    <w:rsid w:val="74304C66"/>
    <w:rsid w:val="74501460"/>
    <w:rsid w:val="745B3729"/>
    <w:rsid w:val="747E452E"/>
    <w:rsid w:val="74B10200"/>
    <w:rsid w:val="74C2049A"/>
    <w:rsid w:val="74E853F8"/>
    <w:rsid w:val="75055A8C"/>
    <w:rsid w:val="75347801"/>
    <w:rsid w:val="753D0A8A"/>
    <w:rsid w:val="75C569C0"/>
    <w:rsid w:val="75DF62EF"/>
    <w:rsid w:val="75E82BF4"/>
    <w:rsid w:val="75FC15F6"/>
    <w:rsid w:val="763428FA"/>
    <w:rsid w:val="769A1F19"/>
    <w:rsid w:val="76AB59C6"/>
    <w:rsid w:val="76BA3D28"/>
    <w:rsid w:val="76CD23E0"/>
    <w:rsid w:val="76D0644A"/>
    <w:rsid w:val="76D8067A"/>
    <w:rsid w:val="76EE3DDB"/>
    <w:rsid w:val="76F57F2D"/>
    <w:rsid w:val="77021D2E"/>
    <w:rsid w:val="77883CA6"/>
    <w:rsid w:val="778B1DFE"/>
    <w:rsid w:val="77A67671"/>
    <w:rsid w:val="77EF5945"/>
    <w:rsid w:val="781E3C67"/>
    <w:rsid w:val="782336D2"/>
    <w:rsid w:val="78477109"/>
    <w:rsid w:val="785617B5"/>
    <w:rsid w:val="785B66B6"/>
    <w:rsid w:val="785D6E29"/>
    <w:rsid w:val="78715A71"/>
    <w:rsid w:val="789A158E"/>
    <w:rsid w:val="79176484"/>
    <w:rsid w:val="7923202E"/>
    <w:rsid w:val="79EC64F6"/>
    <w:rsid w:val="7A48271D"/>
    <w:rsid w:val="7A5B6AA6"/>
    <w:rsid w:val="7B042830"/>
    <w:rsid w:val="7B101B78"/>
    <w:rsid w:val="7B3479E1"/>
    <w:rsid w:val="7B36534B"/>
    <w:rsid w:val="7BAD2677"/>
    <w:rsid w:val="7BD060AF"/>
    <w:rsid w:val="7BD2370A"/>
    <w:rsid w:val="7BE42039"/>
    <w:rsid w:val="7C086264"/>
    <w:rsid w:val="7C127435"/>
    <w:rsid w:val="7C5F755C"/>
    <w:rsid w:val="7C7278F9"/>
    <w:rsid w:val="7CC17885"/>
    <w:rsid w:val="7CC25006"/>
    <w:rsid w:val="7CC5559B"/>
    <w:rsid w:val="7D3038A0"/>
    <w:rsid w:val="7D3E77E5"/>
    <w:rsid w:val="7D6971CA"/>
    <w:rsid w:val="7D9F6C92"/>
    <w:rsid w:val="7DF37B69"/>
    <w:rsid w:val="7E2754D8"/>
    <w:rsid w:val="7E386003"/>
    <w:rsid w:val="7E7913CA"/>
    <w:rsid w:val="7E836A29"/>
    <w:rsid w:val="7EA5622C"/>
    <w:rsid w:val="7EAE0A66"/>
    <w:rsid w:val="7EDD453B"/>
    <w:rsid w:val="7EDF08EA"/>
    <w:rsid w:val="7EFB629F"/>
    <w:rsid w:val="7F461144"/>
    <w:rsid w:val="7F5E0E5D"/>
    <w:rsid w:val="7FBF15DE"/>
    <w:rsid w:val="7FC42D2E"/>
    <w:rsid w:val="7FE1722B"/>
    <w:rsid w:val="7FF037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2"/>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4"/>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1"/>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5"/>
    <w:unhideWhenUsed/>
    <w:qFormat/>
    <w:uiPriority w:val="99"/>
    <w:pPr>
      <w:jc w:val="left"/>
    </w:p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6"/>
    <w:next w:val="6"/>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正文文本 Char"/>
    <w:link w:val="2"/>
    <w:qFormat/>
    <w:uiPriority w:val="1"/>
    <w:rPr>
      <w:rFonts w:ascii="宋体" w:hAnsi="Times New Roman" w:eastAsia="宋体" w:cs="宋体"/>
      <w:kern w:val="0"/>
      <w:szCs w:val="21"/>
    </w:rPr>
  </w:style>
  <w:style w:type="character" w:customStyle="1" w:styleId="22">
    <w:name w:val="标题 1 Char"/>
    <w:link w:val="3"/>
    <w:qFormat/>
    <w:uiPriority w:val="1"/>
    <w:rPr>
      <w:rFonts w:ascii="黑体" w:hAnsi="Times New Roman" w:eastAsia="黑体" w:cs="黑体"/>
      <w:b/>
      <w:bCs/>
      <w:kern w:val="0"/>
      <w:sz w:val="36"/>
      <w:szCs w:val="36"/>
    </w:rPr>
  </w:style>
  <w:style w:type="character" w:customStyle="1" w:styleId="23">
    <w:name w:val="标题 2 Char"/>
    <w:link w:val="4"/>
    <w:qFormat/>
    <w:uiPriority w:val="9"/>
    <w:rPr>
      <w:rFonts w:ascii="Cambria" w:hAnsi="Cambria" w:eastAsia="宋体" w:cs="Times New Roman"/>
      <w:b/>
      <w:bCs/>
      <w:sz w:val="32"/>
      <w:szCs w:val="32"/>
    </w:rPr>
  </w:style>
  <w:style w:type="character" w:customStyle="1" w:styleId="24">
    <w:name w:val="标题 3 Char"/>
    <w:link w:val="5"/>
    <w:qFormat/>
    <w:uiPriority w:val="1"/>
    <w:rPr>
      <w:rFonts w:ascii="宋体" w:hAnsi="Times New Roman" w:eastAsia="宋体" w:cs="宋体"/>
      <w:b/>
      <w:bCs/>
      <w:kern w:val="0"/>
      <w:szCs w:val="21"/>
    </w:rPr>
  </w:style>
  <w:style w:type="character" w:customStyle="1" w:styleId="25">
    <w:name w:val="批注文字 Char"/>
    <w:link w:val="6"/>
    <w:qFormat/>
    <w:uiPriority w:val="99"/>
    <w:rPr>
      <w:kern w:val="2"/>
      <w:sz w:val="21"/>
      <w:szCs w:val="22"/>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
    <w:link w:val="11"/>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字符"/>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35</Pages>
  <Words>33942</Words>
  <Characters>34945</Characters>
  <Lines>235</Lines>
  <Paragraphs>66</Paragraphs>
  <TotalTime>17</TotalTime>
  <ScaleCrop>false</ScaleCrop>
  <LinksUpToDate>false</LinksUpToDate>
  <CharactersWithSpaces>35179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2021-07-03T12:43:00Z</dcterms:created>
  <dc:creator>JSYH</dc:creator>
  <cp:lastModifiedBy>jsyh</cp:lastModifiedBy>
  <cp:lastPrinted>2022-07-26T07:00:00Z</cp:lastPrinted>
  <dcterms:modified xsi:type="dcterms:W3CDTF">2025-09-30T01:49:43Z</dcterms:modified>
  <cp:revision>1651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A720F1D149E949A68E77675940F113CE</vt:lpwstr>
  </property>
</Properties>
</file>