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-302260</wp:posOffset>
                </wp:positionH>
                <wp:positionV relativeFrom="paragraph">
                  <wp:posOffset>-23495</wp:posOffset>
                </wp:positionV>
                <wp:extent cx="6021070" cy="2478405"/>
                <wp:effectExtent l="4445" t="4445" r="13335" b="1270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478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vert="horz" wrap="square" anchor="t" anchorCtr="0" upright="1">
                        <a:spAutoFit/>
                      </wps:bodyPr>
                    </wps:wsp>
                  </a:graphicData>
                </a:graphic>
              </wp:anchor>
            </w:drawing>
          </mc:Choice>
          <mc:Fallback>
            <w:pict>
              <v:shape id="文本框 2" o:spid="_x0000_s1026" o:spt="202" type="#_x0000_t202" style="position:absolute;left:0pt;margin-left:-23.8pt;margin-top:-1.85pt;height:195.1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vcg3bZAAAACgEAAA8AAAAAAAAAAQAgAAAAIgAAAGRycy9kb3ducmV2&#10;LnhtbFBLAQIUABQAAAAIAIdO4kDredsjNAIAAIQEAAAOAAAAAAAAAAEAIAAAACgBAABkcnMvZTJv&#10;RG9jLnhtbFBLBQYAAAAABgAGAFkBAADO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3"/>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w:t>
      </w:r>
    </w:p>
    <w:p>
      <w:pPr>
        <w:pStyle w:val="13"/>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3"/>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3"/>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6</w:t>
      </w:r>
      <w:r>
        <w:rPr>
          <w:rFonts w:hint="eastAsia" w:ascii="楷体" w:hAnsi="楷体" w:eastAsia="楷体"/>
          <w:b/>
        </w:rPr>
        <w:t>年</w:t>
      </w:r>
      <w:r>
        <w:rPr>
          <w:rFonts w:hint="eastAsia" w:ascii="楷体" w:hAnsi="楷体" w:eastAsia="楷体"/>
          <w:b/>
          <w:lang w:val="en-US" w:eastAsia="zh-CN"/>
        </w:rPr>
        <w:t>1</w:t>
      </w:r>
      <w:r>
        <w:rPr>
          <w:rFonts w:hint="eastAsia" w:ascii="楷体" w:hAnsi="楷体" w:eastAsia="楷体"/>
          <w:b/>
        </w:rPr>
        <w:t>月版）</w:t>
      </w:r>
    </w:p>
    <w:p>
      <w:pPr>
        <w:pStyle w:val="13"/>
        <w:spacing w:before="0" w:beforeAutospacing="0" w:after="0" w:afterAutospacing="0" w:line="360" w:lineRule="auto"/>
        <w:rPr>
          <w:rFonts w:hint="eastAsia" w:ascii="楷体" w:hAnsi="楷体" w:eastAsia="楷体"/>
          <w:b/>
          <w:sz w:val="30"/>
          <w:szCs w:val="30"/>
        </w:rPr>
      </w:pPr>
    </w:p>
    <w:tbl>
      <w:tblPr>
        <w:tblStyle w:val="15"/>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r>
              <w:rPr>
                <w:rStyle w:val="21"/>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r>
              <w:rPr>
                <w:rStyle w:val="21"/>
                <w:rFonts w:ascii="楷体" w:hAnsi="楷体" w:eastAsia="楷体"/>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p>
        </w:tc>
      </w:tr>
    </w:tbl>
    <w:p>
      <w:pPr>
        <w:pStyle w:val="13"/>
        <w:rPr>
          <w:rFonts w:hint="eastAsia" w:ascii="楷体" w:hAnsi="楷体" w:eastAsia="楷体"/>
        </w:rPr>
      </w:pPr>
    </w:p>
    <w:p>
      <w:pPr>
        <w:pStyle w:val="13"/>
        <w:spacing w:before="0" w:beforeAutospacing="0" w:after="0" w:afterAutospacing="0" w:line="280" w:lineRule="atLeast"/>
        <w:rPr>
          <w:rFonts w:hint="eastAsia" w:ascii="楷体" w:hAnsi="楷体" w:eastAsia="楷体"/>
        </w:rPr>
      </w:pPr>
      <w:r>
        <w:rPr>
          <w:rStyle w:val="18"/>
          <w:rFonts w:hint="eastAsia" w:ascii="楷体" w:hAnsi="楷体" w:eastAsia="楷体"/>
          <w:bCs w:val="0"/>
        </w:rPr>
        <w:t>郑重提示：</w:t>
      </w:r>
    </w:p>
    <w:p>
      <w:pPr>
        <w:pStyle w:val="13"/>
        <w:spacing w:before="156" w:beforeLines="5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w:t>
      </w:r>
      <w:r>
        <w:rPr>
          <w:rFonts w:hint="eastAsia" w:ascii="楷体" w:hAnsi="楷体" w:eastAsia="楷体" w:cs="Times New Roman"/>
          <w:lang w:eastAsia="zh-CN"/>
        </w:rPr>
        <w:t>理财产品（代理）销售协议书</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3"/>
        <w:pageBreakBefore/>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3"/>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rPr>
      </w:pPr>
      <w:r>
        <w:rPr>
          <w:rFonts w:hint="eastAsia" w:ascii="楷体" w:hAnsi="楷体" w:eastAsia="楷体"/>
          <w:sz w:val="28"/>
          <w:szCs w:val="28"/>
        </w:rPr>
        <w:t>风险揭示</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cs="Times New Roman"/>
          <w:sz w:val="24"/>
          <w:szCs w:val="24"/>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在本理财产品存续期内，投资者只能在</w:t>
      </w:r>
      <w:r>
        <w:rPr>
          <w:rFonts w:hint="eastAsia" w:ascii="楷体" w:hAnsi="楷体" w:eastAsia="楷体" w:cs="Times New Roman"/>
          <w:sz w:val="24"/>
          <w:szCs w:val="24"/>
          <w:lang w:val="en-US" w:eastAsia="zh-CN"/>
        </w:rPr>
        <w:t>理</w:t>
      </w:r>
      <w:r>
        <w:rPr>
          <w:rFonts w:hint="eastAsia" w:ascii="楷体" w:hAnsi="楷体" w:eastAsia="楷体"/>
          <w:sz w:val="24"/>
          <w:szCs w:val="24"/>
          <w:lang w:val="en-US" w:eastAsia="zh-CN"/>
        </w:rPr>
        <w:t>财</w:t>
      </w:r>
      <w:r>
        <w:rPr>
          <w:rFonts w:hint="eastAsia" w:ascii="楷体" w:hAnsi="楷体" w:eastAsia="楷体"/>
          <w:sz w:val="24"/>
          <w:szCs w:val="24"/>
        </w:rPr>
        <w:t>产品说明书规定的时间和条件内办理申购与赎回，这可能影响投资者的资金安排，带来流动性风险。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理财产品的份额类别差异风险：</w:t>
      </w:r>
      <w:r>
        <w:rPr>
          <w:rFonts w:hint="eastAsia" w:ascii="楷体" w:hAnsi="楷体" w:eastAsia="楷体"/>
          <w:bCs/>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特定投资标的风险：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股票投资的特殊风险：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宏观经济运行周期性波动，对股票市场的收益水平产生影响的风险。</w:t>
      </w:r>
    </w:p>
    <w:p>
      <w:pPr>
        <w:numPr>
          <w:ilvl w:val="0"/>
          <w:numId w:val="6"/>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8"/>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黄金、黄金主题股票、黄金ETF基金等黄金类资产的特殊风险：</w:t>
      </w:r>
    </w:p>
    <w:p>
      <w:pPr>
        <w:numPr>
          <w:ilvl w:val="0"/>
          <w:numId w:val="0"/>
        </w:numPr>
        <w:tabs>
          <w:tab w:val="left" w:pos="1092"/>
        </w:tabs>
        <w:ind w:firstLine="480" w:firstLineChars="200"/>
        <w:rPr>
          <w:rFonts w:hint="eastAsia" w:ascii="楷体" w:hAnsi="楷体" w:eastAsia="楷体"/>
          <w:sz w:val="24"/>
          <w:szCs w:val="24"/>
        </w:rPr>
      </w:pPr>
      <w:r>
        <w:rPr>
          <w:rFonts w:hint="eastAsia" w:ascii="楷体" w:hAnsi="楷体" w:eastAsia="楷体"/>
          <w:sz w:val="24"/>
          <w:szCs w:val="24"/>
        </w:rPr>
        <w:t>影响黄金类资产的价格的主要因素包括但不限于：</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黄金的供给与需求；</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投资者的黄金交易行为；</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外汇汇率；</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全球和地区性政治经济环境的变化等。</w:t>
      </w:r>
    </w:p>
    <w:p>
      <w:pPr>
        <w:numPr>
          <w:ilvl w:val="0"/>
          <w:numId w:val="8"/>
        </w:numPr>
        <w:tabs>
          <w:tab w:val="left" w:pos="742"/>
        </w:tabs>
        <w:ind w:left="0" w:firstLine="480" w:firstLineChars="200"/>
        <w:rPr>
          <w:rFonts w:hint="eastAsia" w:ascii="楷体" w:hAnsi="楷体" w:eastAsia="楷体"/>
          <w:sz w:val="24"/>
          <w:szCs w:val="24"/>
          <w:lang w:val="en-US" w:eastAsia="zh-CN"/>
        </w:rPr>
      </w:pPr>
      <w:r>
        <w:rPr>
          <w:rFonts w:hint="eastAsia" w:ascii="楷体" w:hAnsi="楷体" w:eastAsia="楷体"/>
          <w:sz w:val="24"/>
          <w:szCs w:val="24"/>
          <w:lang w:val="en-US" w:eastAsia="zh-CN"/>
        </w:rPr>
        <w:t>结构性存款的特殊风险：</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市场风险。结构性存款挂钩的境内外债券、股票、利率、汇率、指数等标的受相关国家或地区的金融市场和经济趋势的影响，收益存在不确定性。</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利率风险。结构性存款如挂钩特定债券或债券指数，可能因相关利率变动而导致产品收益发生变化。</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汇率风险。结构性存款如挂钩境外证券资产，可能面临以非人民币计价的各类资产受汇率波动影响而引起人民币估值下的理财产品资产净值波动的风险。</w:t>
      </w:r>
    </w:p>
    <w:p>
      <w:pPr>
        <w:numPr>
          <w:ilvl w:val="0"/>
          <w:numId w:val="10"/>
        </w:numPr>
        <w:tabs>
          <w:tab w:val="left" w:pos="1092"/>
        </w:tabs>
        <w:ind w:left="0" w:firstLine="480" w:firstLineChars="200"/>
        <w:rPr>
          <w:rFonts w:hint="eastAsia" w:ascii="楷体" w:hAnsi="楷体" w:eastAsia="楷体"/>
          <w:sz w:val="24"/>
          <w:szCs w:val="24"/>
        </w:rPr>
      </w:pPr>
      <w:r>
        <w:rPr>
          <w:rFonts w:hint="default" w:ascii="楷体" w:hAnsi="楷体" w:eastAsia="楷体"/>
          <w:sz w:val="24"/>
          <w:szCs w:val="24"/>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rPr>
      </w:pPr>
      <w:r>
        <w:rPr>
          <w:rFonts w:hint="eastAsia" w:ascii="楷体" w:hAnsi="楷体" w:eastAsia="楷体"/>
          <w:sz w:val="28"/>
          <w:szCs w:val="28"/>
        </w:rPr>
        <w:t>投资者提示</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w:t>
      </w:r>
      <w:r>
        <w:rPr>
          <w:rFonts w:hint="eastAsia" w:ascii="楷体" w:hAnsi="楷体" w:eastAsia="楷体"/>
          <w:b/>
          <w:sz w:val="24"/>
          <w:szCs w:val="24"/>
          <w:u w:val="single"/>
          <w:lang w:eastAsia="zh-CN"/>
        </w:rPr>
        <w:t>，</w:t>
      </w:r>
      <w:r>
        <w:rPr>
          <w:rFonts w:hint="eastAsia" w:ascii="楷体" w:hAnsi="楷体" w:eastAsia="楷体"/>
          <w:b/>
          <w:sz w:val="24"/>
          <w:szCs w:val="24"/>
          <w:u w:val="single"/>
        </w:rPr>
        <w:t>在最不利的情况下甚至可能损失全部本金。投资者应充分认识投资风险，谨慎投资。</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11"/>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★★二级，适合</w:t>
      </w:r>
      <w:r>
        <w:rPr>
          <w:rFonts w:hint="eastAsia" w:ascii="楷体" w:hAnsi="楷体" w:eastAsia="楷体" w:cs="Calibri"/>
          <w:b/>
          <w:sz w:val="24"/>
          <w:szCs w:val="24"/>
          <w:u w:val="single"/>
        </w:rPr>
        <w:t>中低风险型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bCs/>
          <w:sz w:val="24"/>
          <w:szCs w:val="24"/>
          <w:u w:val="single"/>
        </w:rPr>
        <w:t>如本产品通过代理销售机构渠道销售，理财产品评级以代理销售机构最终披露的评级结果为准。</w:t>
      </w:r>
    </w:p>
    <w:p>
      <w:pPr>
        <w:numPr>
          <w:ilvl w:val="0"/>
          <w:numId w:val="11"/>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11"/>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p>
    <w:p>
      <w:pPr>
        <w:numPr>
          <w:ilvl w:val="0"/>
          <w:numId w:val="11"/>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w:t>
      </w:r>
      <w:r>
        <w:rPr>
          <w:rFonts w:hint="eastAsia" w:ascii="楷体" w:hAnsi="楷体" w:eastAsia="楷体"/>
          <w:sz w:val="24"/>
          <w:szCs w:val="24"/>
          <w:lang w:val="en-US" w:eastAsia="zh-CN"/>
        </w:rPr>
        <w:t>根据</w:t>
      </w:r>
      <w:r>
        <w:rPr>
          <w:rFonts w:hint="eastAsia" w:ascii="楷体" w:hAnsi="楷体" w:eastAsia="楷体"/>
          <w:sz w:val="24"/>
          <w:szCs w:val="24"/>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3"/>
        <w:spacing w:before="0" w:beforeAutospacing="0" w:after="0" w:afterAutospacing="0" w:line="360" w:lineRule="auto"/>
        <w:ind w:left="420"/>
        <w:jc w:val="right"/>
        <w:rPr>
          <w:rFonts w:ascii="楷体" w:hAnsi="楷体" w:eastAsia="楷体"/>
          <w:b/>
        </w:rPr>
      </w:pPr>
      <w:r>
        <w:rPr>
          <w:rFonts w:hint="eastAsia" w:ascii="楷体" w:hAnsi="楷体" w:eastAsia="楷体"/>
          <w:b/>
        </w:rPr>
        <w:t>风险揭示方：苏银理财有限责任公司</w:t>
      </w:r>
    </w:p>
    <w:p>
      <w:pPr>
        <w:pStyle w:val="13"/>
        <w:spacing w:before="0" w:beforeAutospacing="0" w:after="0" w:afterAutospacing="0" w:line="360" w:lineRule="auto"/>
        <w:ind w:left="420"/>
        <w:jc w:val="right"/>
        <w:rPr>
          <w:rFonts w:hint="eastAsia" w:ascii="楷体" w:hAnsi="楷体" w:eastAsia="楷体"/>
          <w:b/>
        </w:rPr>
      </w:pPr>
      <w:r>
        <w:rPr>
          <w:rFonts w:ascii="楷体" w:hAnsi="楷体" w:eastAsia="楷体"/>
          <w:b/>
        </w:rPr>
        <w:br w:type="page"/>
      </w:r>
    </w:p>
    <w:p>
      <w:pPr>
        <w:pStyle w:val="13"/>
        <w:spacing w:before="0" w:beforeAutospacing="0" w:after="0" w:afterAutospacing="0" w:line="360" w:lineRule="auto"/>
        <w:jc w:val="center"/>
        <w:rPr>
          <w:rFonts w:ascii="楷体" w:hAnsi="楷体" w:eastAsia="楷体"/>
          <w:b/>
          <w:sz w:val="36"/>
          <w:szCs w:val="36"/>
        </w:rPr>
      </w:pPr>
      <w:r>
        <w:rPr>
          <w:rFonts w:hint="eastAsia" w:ascii="楷体" w:hAnsi="楷体" w:eastAsia="楷体"/>
          <w:b/>
          <w:sz w:val="36"/>
          <w:szCs w:val="36"/>
        </w:rPr>
        <w:t>投资者风险确认函</w:t>
      </w:r>
    </w:p>
    <w:p>
      <w:pPr>
        <w:numPr>
          <w:ilvl w:val="0"/>
          <w:numId w:val="12"/>
        </w:numPr>
        <w:tabs>
          <w:tab w:val="left" w:pos="1134"/>
        </w:tabs>
        <w:ind w:firstLine="562" w:firstLineChars="200"/>
        <w:rPr>
          <w:rFonts w:ascii="楷体" w:hAnsi="楷体" w:eastAsia="楷体"/>
          <w:b/>
          <w:bCs/>
          <w:sz w:val="28"/>
          <w:szCs w:val="28"/>
        </w:rPr>
      </w:pPr>
      <w:r>
        <w:rPr>
          <w:rFonts w:hint="eastAsia" w:ascii="楷体" w:hAnsi="楷体" w:eastAsia="楷体"/>
          <w:b/>
          <w:bCs/>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风险承受能力不低于本理财产品的风险评级，适合购买本理财产品。如风险承受能力评估已超过一年，或影响风险承受能力的因素发生变化</w:t>
      </w:r>
      <w:r>
        <w:rPr>
          <w:rFonts w:hint="eastAsia" w:ascii="楷体" w:hAnsi="楷体" w:eastAsia="楷体"/>
          <w:sz w:val="24"/>
          <w:szCs w:val="24"/>
          <w:lang w:eastAsia="zh-CN"/>
        </w:rPr>
        <w:t>，</w:t>
      </w:r>
      <w:r>
        <w:rPr>
          <w:rFonts w:hint="eastAsia" w:ascii="楷体" w:hAnsi="楷体" w:eastAsia="楷体"/>
          <w:sz w:val="24"/>
          <w:szCs w:val="24"/>
        </w:rPr>
        <w:t>本人将及时完成风险承受能力的重新评估。</w:t>
      </w:r>
    </w:p>
    <w:p>
      <w:pPr>
        <w:ind w:firstLine="480" w:firstLineChars="200"/>
        <w:rPr>
          <w:rFonts w:hint="eastAsia"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12"/>
        </w:numPr>
        <w:tabs>
          <w:tab w:val="left" w:pos="1134"/>
        </w:tabs>
        <w:ind w:firstLine="562" w:firstLineChars="200"/>
        <w:rPr>
          <w:rFonts w:hint="eastAsia" w:ascii="楷体" w:hAnsi="楷体" w:eastAsia="楷体"/>
          <w:b/>
          <w:bCs/>
          <w:sz w:val="28"/>
          <w:szCs w:val="28"/>
        </w:rPr>
      </w:pPr>
      <w:r>
        <w:rPr>
          <w:rFonts w:hint="eastAsia" w:ascii="楷体" w:hAnsi="楷体" w:eastAsia="楷体"/>
          <w:b/>
          <w:bCs/>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机构投资者法定代表人或授权代表（签字或盖章）</w:t>
      </w:r>
    </w:p>
    <w:p>
      <w:pPr>
        <w:rPr>
          <w:rFonts w:hint="eastAsia" w:ascii="楷体" w:hAnsi="楷体" w:eastAsia="楷体"/>
        </w:rPr>
      </w:pPr>
    </w:p>
    <w:p>
      <w:pPr>
        <w:pStyle w:val="13"/>
        <w:spacing w:before="0" w:beforeAutospacing="0" w:after="0" w:afterAutospacing="0" w:line="360" w:lineRule="auto"/>
        <w:jc w:val="right"/>
        <w:rPr>
          <w:rFonts w:ascii="楷体" w:hAnsi="楷体" w:eastAsia="楷体"/>
        </w:rPr>
      </w:pPr>
      <w:r>
        <w:rPr>
          <w:rFonts w:hint="eastAsia" w:ascii="楷体" w:hAnsi="楷体" w:eastAsia="楷体"/>
        </w:rPr>
        <w:t xml:space="preserve">年 </w:t>
      </w:r>
      <w:r>
        <w:rPr>
          <w:rFonts w:ascii="楷体" w:hAnsi="楷体" w:eastAsia="楷体"/>
        </w:rPr>
        <w:t xml:space="preserve">  月</w:t>
      </w:r>
      <w:r>
        <w:rPr>
          <w:rFonts w:hint="eastAsia" w:ascii="楷体" w:hAnsi="楷体" w:eastAsia="楷体"/>
        </w:rPr>
        <w:t xml:space="preserve"> </w:t>
      </w:r>
      <w:r>
        <w:rPr>
          <w:rFonts w:ascii="楷体" w:hAnsi="楷体" w:eastAsia="楷体"/>
        </w:rPr>
        <w:t xml:space="preserve">  日</w:t>
      </w:r>
    </w:p>
    <w:p>
      <w:pPr>
        <w:pStyle w:val="13"/>
        <w:spacing w:before="0" w:beforeAutospacing="0" w:after="0" w:afterAutospacing="0" w:line="360" w:lineRule="auto"/>
        <w:jc w:val="center"/>
        <w:rPr>
          <w:rFonts w:hint="eastAsia" w:ascii="楷体" w:hAnsi="楷体" w:eastAsia="楷体"/>
          <w:b/>
          <w:sz w:val="36"/>
          <w:szCs w:val="36"/>
        </w:rPr>
      </w:pPr>
      <w:r>
        <w:rPr>
          <w:rFonts w:ascii="楷体" w:hAnsi="楷体" w:eastAsia="楷体"/>
        </w:rPr>
        <w:br w:type="page"/>
      </w:r>
      <w:r>
        <w:rPr>
          <w:rFonts w:hint="eastAsia" w:ascii="楷体" w:hAnsi="楷体" w:eastAsia="楷体"/>
          <w:b/>
          <w:sz w:val="36"/>
          <w:szCs w:val="36"/>
        </w:rPr>
        <w:t>“苏银理财恒源融达1号”理财产品说明书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3"/>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sz w:val="24"/>
          <w:szCs w:val="24"/>
          <w:u w:val="single"/>
          <w:lang w:val="en-US" w:eastAsia="zh-CN"/>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本理财产品的任何业绩比较区间、业绩比较基准类似表述均属不具有法律约束力的用语，业绩比较基准</w:t>
      </w:r>
      <w:r>
        <w:rPr>
          <w:rFonts w:hint="eastAsia" w:ascii="楷体" w:hAnsi="楷体" w:eastAsia="楷体"/>
          <w:b/>
          <w:sz w:val="24"/>
          <w:szCs w:val="24"/>
          <w:u w:val="single"/>
          <w:lang w:val="en-US" w:eastAsia="zh-CN"/>
        </w:rPr>
        <w:t>为管理人</w:t>
      </w:r>
      <w:r>
        <w:rPr>
          <w:rFonts w:hint="eastAsia" w:ascii="楷体" w:hAnsi="楷体" w:eastAsia="楷体"/>
          <w:b/>
          <w:sz w:val="24"/>
          <w:szCs w:val="24"/>
          <w:u w:val="single"/>
        </w:rPr>
        <w:t>对本产品所设定的投资目标</w:t>
      </w:r>
      <w:r>
        <w:rPr>
          <w:rFonts w:hint="eastAsia" w:ascii="楷体" w:hAnsi="楷体" w:eastAsia="楷体"/>
          <w:b/>
          <w:sz w:val="24"/>
          <w:szCs w:val="24"/>
          <w:u w:val="single"/>
          <w:lang w:eastAsia="zh-CN"/>
        </w:rPr>
        <w:t>，</w:t>
      </w:r>
      <w:r>
        <w:rPr>
          <w:rFonts w:hint="eastAsia" w:ascii="楷体" w:hAnsi="楷体" w:eastAsia="楷体"/>
          <w:b/>
          <w:sz w:val="24"/>
          <w:szCs w:val="24"/>
          <w:u w:val="single"/>
        </w:rPr>
        <w:t>不代表投资者可能获得的实际收益，亦不构成苏银理财有限责任公司（以下简称“苏银理财”）对本理财产品的任何收益承诺。</w:t>
      </w:r>
    </w:p>
    <w:p>
      <w:pPr>
        <w:numPr>
          <w:ilvl w:val="0"/>
          <w:numId w:val="13"/>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13"/>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、其他风险等。请仔细阅读《“苏银理财恒源融达1号”理财产品风险揭示书》的“风险揭示”部分。</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13"/>
        </w:numPr>
        <w:rPr>
          <w:rFonts w:hint="eastAsia" w:ascii="楷体" w:hAnsi="楷体" w:eastAsia="楷体"/>
          <w:b/>
          <w:sz w:val="24"/>
          <w:szCs w:val="24"/>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3"/>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3"/>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3"/>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13"/>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5"/>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8"/>
        <w:gridCol w:w="6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468" w:type="dxa"/>
            <w:noWrap w:val="0"/>
            <w:vAlign w:val="center"/>
          </w:tcPr>
          <w:p>
            <w:pPr>
              <w:pStyle w:val="34"/>
              <w:kinsoku w:val="0"/>
              <w:overflowPunct w:val="0"/>
              <w:spacing w:before="13"/>
              <w:ind w:left="2"/>
              <w:rPr>
                <w:rFonts w:hint="eastAsia" w:ascii="楷体" w:hAnsi="楷体" w:eastAsia="楷体" w:cs="宋体"/>
                <w:spacing w:val="-2"/>
                <w:sz w:val="21"/>
                <w:szCs w:val="21"/>
              </w:rPr>
            </w:pPr>
            <w:r>
              <w:rPr>
                <w:rFonts w:hint="eastAsia" w:ascii="楷体" w:hAnsi="楷体" w:eastAsia="楷体" w:cs="宋体"/>
                <w:spacing w:val="-2"/>
                <w:sz w:val="21"/>
                <w:szCs w:val="21"/>
              </w:rPr>
              <w:t>苏银理财恒源融达1号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468" w:type="dxa"/>
            <w:noWrap w:val="0"/>
            <w:vAlign w:val="center"/>
          </w:tcPr>
          <w:p>
            <w:pPr>
              <w:pStyle w:val="34"/>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Z7003123000062</w:t>
            </w:r>
          </w:p>
          <w:p>
            <w:pPr>
              <w:pStyle w:val="34"/>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查询产品信息），产品变更前原理财产品登记编码为C1086818000096。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48" w:type="dxa"/>
            <w:noWrap w:val="0"/>
            <w:vAlign w:val="center"/>
          </w:tcPr>
          <w:p>
            <w:pPr>
              <w:pStyle w:val="34"/>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468" w:type="dxa"/>
            <w:noWrap w:val="0"/>
            <w:vAlign w:val="center"/>
          </w:tcPr>
          <w:p>
            <w:pPr>
              <w:pStyle w:val="34"/>
              <w:kinsoku w:val="0"/>
              <w:overflowPunct w:val="0"/>
              <w:spacing w:before="12"/>
              <w:ind w:left="3"/>
              <w:rPr>
                <w:rFonts w:hint="eastAsia" w:ascii="楷体" w:hAnsi="楷体" w:eastAsia="楷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J180409SA86B</w:t>
            </w:r>
          </w:p>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/J180409SA86D</w:t>
            </w:r>
          </w:p>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 w:val="21"/>
                <w:szCs w:val="21"/>
              </w:rPr>
              <w:t>/J180409SA86E</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/J180409SA86F</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G份额：苏银理财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J02453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J02764</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J03363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/J03473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/J03506</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/J03612</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/J03613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/J03614</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/J03807</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/J04954</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/J07237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P/J07303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I/J10363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鑫福款份额：苏银理财恒源融达1号6月鑫福款/J12106</w:t>
            </w:r>
          </w:p>
          <w:p>
            <w:pPr>
              <w:pStyle w:val="34"/>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JS鑫福优享份额：苏银理财恒源融达1号6月JS鑫福优享/J12107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JS鑫福尊享份额：苏银理财恒源融达1号6月JS鑫福尊享/J12108</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/J13163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/J1316</w:t>
            </w:r>
            <w:r>
              <w:rPr>
                <w:rFonts w:hint="eastAsia" w:ascii="楷体" w:hAnsi="楷体" w:eastAsia="楷体" w:cs="宋体"/>
                <w:spacing w:val="-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468" w:type="dxa"/>
            <w:noWrap w:val="0"/>
            <w:vAlign w:val="center"/>
          </w:tcPr>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468" w:type="dxa"/>
            <w:noWrap w:val="0"/>
            <w:vAlign w:val="center"/>
          </w:tcPr>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详见下文“十四、产品托管人”。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468" w:type="dxa"/>
            <w:noWrap w:val="0"/>
            <w:vAlign w:val="center"/>
          </w:tcPr>
          <w:p>
            <w:pPr>
              <w:pStyle w:val="34"/>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468" w:type="dxa"/>
            <w:noWrap w:val="0"/>
            <w:vAlign w:val="center"/>
          </w:tcPr>
          <w:p>
            <w:pPr>
              <w:pStyle w:val="34"/>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4"/>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4"/>
              <w:kinsoku w:val="0"/>
              <w:overflowPunct w:val="0"/>
              <w:spacing w:before="13"/>
              <w:ind w:left="18"/>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468" w:type="dxa"/>
            <w:noWrap w:val="0"/>
            <w:vAlign w:val="center"/>
          </w:tcPr>
          <w:p>
            <w:pPr>
              <w:pStyle w:val="34"/>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468" w:type="dxa"/>
            <w:noWrap w:val="0"/>
            <w:vAlign w:val="center"/>
          </w:tcPr>
          <w:p>
            <w:pPr>
              <w:pStyle w:val="34"/>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(销售机构江苏银行仅限代发工资客户)</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份额面向个人和机构投资者销售（</w:t>
            </w:r>
            <w:r>
              <w:rPr>
                <w:rFonts w:hint="eastAsia" w:ascii="楷体" w:hAnsi="楷体" w:eastAsia="楷体" w:cs="Times New Roman"/>
                <w:b w:val="0"/>
                <w:bCs w:val="0"/>
                <w:kern w:val="0"/>
                <w:sz w:val="21"/>
                <w:szCs w:val="21"/>
                <w:lang w:val="en-US" w:eastAsia="zh-CN" w:bidi="ar-SA"/>
              </w:rPr>
              <w:t>销售机构江苏银行个人投资者仅限50周岁及以上客户和江苏银行社保卡持卡人</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F份额面向个人投资者销售（</w:t>
            </w:r>
            <w:r>
              <w:rPr>
                <w:rFonts w:hint="eastAsia" w:ascii="楷体" w:hAnsi="楷体" w:eastAsia="楷体" w:cs="宋体"/>
                <w:spacing w:val="-2"/>
                <w:sz w:val="21"/>
                <w:szCs w:val="21"/>
                <w:lang w:val="en-US" w:eastAsia="zh-CN"/>
              </w:rPr>
              <w:t>销售机构</w:t>
            </w:r>
            <w:r>
              <w:rPr>
                <w:rFonts w:hint="eastAsia" w:ascii="楷体" w:hAnsi="楷体" w:eastAsia="楷体" w:cs="宋体"/>
                <w:spacing w:val="-2"/>
                <w:sz w:val="21"/>
                <w:szCs w:val="21"/>
              </w:rPr>
              <w:t>江苏银行</w:t>
            </w:r>
            <w:r>
              <w:rPr>
                <w:rFonts w:hint="eastAsia" w:ascii="楷体" w:hAnsi="楷体" w:eastAsia="楷体" w:cs="宋体"/>
                <w:spacing w:val="-2"/>
                <w:sz w:val="21"/>
                <w:szCs w:val="21"/>
                <w:lang w:val="en-US" w:eastAsia="zh-CN"/>
              </w:rPr>
              <w:t>仅限</w:t>
            </w:r>
            <w:r>
              <w:rPr>
                <w:rFonts w:hint="eastAsia" w:ascii="楷体" w:hAnsi="楷体" w:eastAsia="楷体" w:cs="宋体"/>
                <w:spacing w:val="-2"/>
                <w:sz w:val="21"/>
                <w:szCs w:val="21"/>
              </w:rPr>
              <w:t>企业手机银行专业版个人用户、江苏银行信用卡持卡用户）;</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G份额面向个人</w:t>
            </w:r>
            <w:r>
              <w:rPr>
                <w:rFonts w:hint="eastAsia" w:ascii="楷体" w:hAnsi="楷体" w:eastAsia="楷体" w:cs="宋体"/>
                <w:spacing w:val="-2"/>
                <w:sz w:val="21"/>
                <w:szCs w:val="21"/>
                <w:lang w:val="en-US" w:eastAsia="zh-CN"/>
              </w:rPr>
              <w:t>和机构投资者</w:t>
            </w:r>
            <w:r>
              <w:rPr>
                <w:rFonts w:hint="eastAsia" w:ascii="楷体" w:hAnsi="楷体" w:eastAsia="楷体" w:cs="宋体"/>
                <w:spacing w:val="-2"/>
                <w:sz w:val="21"/>
                <w:szCs w:val="21"/>
              </w:rPr>
              <w:t>销售;</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面向个人投资者销售（江苏银行手机银行个人碳账户签约客户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w:t>
            </w:r>
            <w:r>
              <w:rPr>
                <w:rFonts w:hint="eastAsia" w:ascii="楷体" w:hAnsi="楷体" w:eastAsia="楷体" w:cs="宋体"/>
                <w:spacing w:val="-2"/>
                <w:sz w:val="21"/>
                <w:szCs w:val="21"/>
                <w:highlight w:val="none"/>
                <w:lang w:val="en-US" w:eastAsia="zh-CN"/>
              </w:rPr>
              <w:t>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I</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468" w:type="dxa"/>
            <w:noWrap w:val="0"/>
            <w:vAlign w:val="center"/>
          </w:tcPr>
          <w:p>
            <w:pPr>
              <w:jc w:val="left"/>
              <w:rPr>
                <w:rFonts w:hint="eastAsia" w:ascii="楷体" w:hAnsi="楷体" w:eastAsia="楷体" w:cs="宋体"/>
                <w:spacing w:val="-2"/>
                <w:szCs w:val="21"/>
              </w:rPr>
            </w:pPr>
            <w:r>
              <w:rPr>
                <w:rFonts w:hint="eastAsia" w:ascii="楷体" w:hAnsi="楷体" w:eastAsia="楷体" w:cs="宋体"/>
                <w:spacing w:val="-2"/>
                <w:szCs w:val="21"/>
                <w:lang w:val="en-US" w:eastAsia="zh-CN"/>
              </w:rPr>
              <w:t>A</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ascii="楷体" w:hAnsi="楷体" w:eastAsia="楷体"/>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ascii="楷体" w:hAnsi="楷体" w:eastAsia="楷体"/>
                <w:szCs w:val="21"/>
              </w:rPr>
            </w:pPr>
            <w:r>
              <w:rPr>
                <w:rFonts w:hint="eastAsia" w:ascii="楷体" w:hAnsi="楷体" w:eastAsia="楷体" w:cs="宋体"/>
                <w:spacing w:val="-2"/>
                <w:szCs w:val="21"/>
              </w:rPr>
              <w:t>E</w:t>
            </w:r>
            <w:r>
              <w:rPr>
                <w:rFonts w:hint="eastAsia" w:ascii="楷体" w:hAnsi="楷体" w:eastAsia="楷体" w:cs="宋体"/>
                <w:spacing w:val="-2"/>
                <w:szCs w:val="21"/>
                <w:lang w:val="en-US" w:eastAsia="zh-CN"/>
              </w:rPr>
              <w:t>50</w:t>
            </w:r>
            <w:r>
              <w:rPr>
                <w:rFonts w:hint="eastAsia" w:ascii="楷体" w:hAnsi="楷体" w:eastAsia="楷体" w:cs="宋体"/>
                <w:spacing w:val="-2"/>
                <w:szCs w:val="21"/>
              </w:rPr>
              <w:t>份额个人投资者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元，追加金额为1元的整数倍</w:t>
            </w:r>
            <w:r>
              <w:rPr>
                <w:rFonts w:hint="eastAsia" w:ascii="楷体" w:hAnsi="楷体" w:eastAsia="楷体"/>
                <w:szCs w:val="21"/>
                <w:lang w:eastAsia="zh-CN"/>
              </w:rPr>
              <w:t>，</w:t>
            </w:r>
            <w:r>
              <w:rPr>
                <w:rFonts w:hint="eastAsia" w:ascii="楷体" w:hAnsi="楷体" w:eastAsia="楷体"/>
                <w:szCs w:val="21"/>
              </w:rPr>
              <w:t>机构投资者购买起点金额为100万元，追加金额为1万元的整数倍；</w:t>
            </w:r>
          </w:p>
          <w:p>
            <w:pPr>
              <w:jc w:val="left"/>
              <w:rPr>
                <w:rFonts w:hint="eastAsia" w:ascii="楷体" w:hAnsi="楷体" w:eastAsia="楷体"/>
                <w:szCs w:val="21"/>
              </w:rPr>
            </w:pPr>
            <w:r>
              <w:rPr>
                <w:rFonts w:hint="eastAsia" w:ascii="楷体" w:hAnsi="楷体" w:eastAsia="楷体"/>
                <w:szCs w:val="21"/>
              </w:rPr>
              <w:t>F份额购买起点金额为1万元，追加金额为1万元的整数倍;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rPr>
              <w:t>G份额</w:t>
            </w:r>
            <w:r>
              <w:rPr>
                <w:rFonts w:hint="eastAsia" w:ascii="楷体" w:hAnsi="楷体" w:eastAsia="楷体"/>
                <w:szCs w:val="21"/>
                <w:lang w:val="en-US" w:eastAsia="zh-CN"/>
              </w:rPr>
              <w:t>个人投资者</w:t>
            </w:r>
            <w:r>
              <w:rPr>
                <w:rFonts w:hint="eastAsia" w:ascii="楷体" w:hAnsi="楷体" w:eastAsia="楷体"/>
                <w:szCs w:val="21"/>
              </w:rPr>
              <w:t>购买起点金额为1万元，追加金额为1万元的整数倍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S</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购买起点金额为1</w:t>
            </w:r>
            <w:r>
              <w:rPr>
                <w:rFonts w:hint="eastAsia" w:ascii="楷体" w:hAnsi="楷体" w:eastAsia="楷体"/>
                <w:szCs w:val="21"/>
                <w:lang w:val="en-US" w:eastAsia="zh-CN"/>
              </w:rPr>
              <w:t>0万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szCs w:val="21"/>
              </w:rPr>
              <w:t>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lang w:val="en-US" w:eastAsia="zh-CN"/>
              </w:rPr>
              <w:t>K</w:t>
            </w:r>
            <w:r>
              <w:rPr>
                <w:rFonts w:hint="eastAsia" w:ascii="楷体" w:hAnsi="楷体" w:eastAsia="楷体"/>
                <w:szCs w:val="21"/>
              </w:rPr>
              <w:t>份额购买起点金额为1</w:t>
            </w:r>
            <w:r>
              <w:rPr>
                <w:rFonts w:hint="eastAsia" w:ascii="楷体" w:hAnsi="楷体" w:eastAsia="楷体"/>
                <w:szCs w:val="21"/>
                <w:lang w:val="en-US" w:eastAsia="zh-CN"/>
              </w:rPr>
              <w:t>亿</w:t>
            </w:r>
            <w:r>
              <w:rPr>
                <w:rFonts w:hint="eastAsia" w:ascii="楷体" w:hAnsi="楷体" w:eastAsia="楷体"/>
                <w:szCs w:val="21"/>
              </w:rPr>
              <w:t>元，追加金额为1万元的整数倍；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5万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rPr>
            </w:pPr>
            <w:r>
              <w:rPr>
                <w:rFonts w:hint="eastAsia" w:ascii="楷体" w:hAnsi="楷体" w:eastAsia="楷体" w:cs="宋体"/>
                <w:spacing w:val="-2"/>
                <w:sz w:val="21"/>
                <w:szCs w:val="21"/>
              </w:rPr>
              <w:t>芙蓉锦程·优选份额</w:t>
            </w:r>
            <w:r>
              <w:rPr>
                <w:rFonts w:hint="eastAsia" w:ascii="楷体" w:hAnsi="楷体" w:eastAsia="楷体"/>
                <w:szCs w:val="21"/>
              </w:rPr>
              <w:t>购买起点金额为1元，追加金额为1元的整数倍；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Z</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Q</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JS鑫福款</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P</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I</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鑫福款</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JS鑫福优享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JS鑫福尊享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50</w:t>
            </w:r>
            <w:r>
              <w:rPr>
                <w:rFonts w:hint="eastAsia" w:ascii="楷体" w:hAnsi="楷体" w:eastAsia="楷体"/>
                <w:szCs w:val="21"/>
              </w:rPr>
              <w:t>万元，追加金额为1万元的整数倍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M</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val="en-US" w:eastAsia="zh-CN"/>
              </w:rPr>
            </w:pPr>
            <w:r>
              <w:rPr>
                <w:rFonts w:hint="eastAsia" w:ascii="楷体" w:hAnsi="楷体" w:eastAsia="楷体" w:cs="宋体"/>
                <w:spacing w:val="-2"/>
                <w:szCs w:val="21"/>
                <w:lang w:val="en-US" w:eastAsia="zh-CN"/>
              </w:rPr>
              <w:t>N</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lang w:val="en-US" w:eastAsia="zh-CN"/>
              </w:rPr>
              <w:t>购买</w:t>
            </w:r>
            <w:r>
              <w:rPr>
                <w:rFonts w:hint="eastAsia" w:ascii="楷体" w:hAnsi="楷体" w:eastAsia="楷体"/>
                <w:szCs w:val="21"/>
              </w:rPr>
              <w:t>起点/追加金额具体以</w:t>
            </w:r>
            <w:r>
              <w:rPr>
                <w:rFonts w:hint="eastAsia" w:ascii="楷体" w:hAnsi="楷体" w:eastAsia="楷体"/>
                <w:szCs w:val="21"/>
                <w:lang w:val="en-US" w:eastAsia="zh-CN"/>
              </w:rPr>
              <w:t>销售</w:t>
            </w:r>
            <w:r>
              <w:rPr>
                <w:rFonts w:hint="eastAsia" w:ascii="楷体" w:hAnsi="楷体" w:eastAsia="楷体"/>
                <w:szCs w:val="21"/>
              </w:rPr>
              <w:t>机构设置为准。认购资金的清算和认购份额的计算详见下文“八、产品认购”。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83"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w:t>
            </w:r>
            <w:r>
              <w:rPr>
                <w:rFonts w:hint="eastAsia" w:ascii="楷体" w:hAnsi="楷体" w:eastAsia="楷体" w:cs="宋体"/>
                <w:b/>
                <w:spacing w:val="-2"/>
                <w:sz w:val="21"/>
                <w:szCs w:val="21"/>
                <w:lang w:val="en-US" w:eastAsia="zh-CN"/>
              </w:rPr>
              <w:t>购</w:t>
            </w:r>
            <w:r>
              <w:rPr>
                <w:rFonts w:hint="eastAsia" w:ascii="楷体" w:hAnsi="楷体" w:eastAsia="楷体" w:cs="宋体"/>
                <w:b/>
                <w:spacing w:val="-2"/>
                <w:sz w:val="21"/>
                <w:szCs w:val="21"/>
              </w:rPr>
              <w:t>/申购上限</w:t>
            </w:r>
          </w:p>
        </w:tc>
        <w:tc>
          <w:tcPr>
            <w:tcW w:w="6468" w:type="dxa"/>
            <w:noWrap w:val="0"/>
            <w:vAlign w:val="center"/>
          </w:tcPr>
          <w:p>
            <w:pPr>
              <w:pStyle w:val="34"/>
              <w:kinsoku w:val="0"/>
              <w:overflowPunct w:val="0"/>
              <w:spacing w:before="12"/>
              <w:ind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暂无</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超过</w:t>
            </w:r>
            <w:r>
              <w:rPr>
                <w:rFonts w:hint="eastAsia" w:ascii="楷体" w:hAnsi="楷体" w:eastAsia="楷体" w:cs="宋体"/>
                <w:spacing w:val="-2"/>
                <w:sz w:val="21"/>
                <w:szCs w:val="21"/>
                <w:lang w:val="en-US" w:eastAsia="zh-CN"/>
              </w:rPr>
              <w:t>单一投资者</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单个客户持有份额上限</w:t>
            </w:r>
          </w:p>
        </w:tc>
        <w:tc>
          <w:tcPr>
            <w:tcW w:w="6468" w:type="dxa"/>
            <w:noWrap w:val="0"/>
            <w:vAlign w:val="center"/>
          </w:tcPr>
          <w:p>
            <w:pPr>
              <w:ind w:left="59" w:leftChars="0" w:right="73" w:rightChars="35"/>
              <w:rPr>
                <w:rFonts w:hint="eastAsia" w:ascii="楷体" w:hAnsi="楷体" w:eastAsia="楷体" w:cs="宋体"/>
                <w:spacing w:val="-2"/>
                <w:sz w:val="21"/>
                <w:szCs w:val="21"/>
                <w:highlight w:val="none"/>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468" w:type="dxa"/>
            <w:noWrap w:val="0"/>
            <w:vAlign w:val="center"/>
          </w:tcPr>
          <w:p>
            <w:pPr>
              <w:pStyle w:val="34"/>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3330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份额200亿，</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份额100亿，E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份额600亿,F份额300亿,G份额200亿</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S份额200亿，H份额200亿，碳账户专享份额100亿，K份额30亿，J份额100亿，</w:t>
            </w: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100亿，Z份额100亿，Q份额100亿，JS鑫福款份额100亿，</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100亿，P份额100亿，I份额100亿，鑫福款份额100亿，JS鑫福优享份额100亿，JS鑫福尊享份额100亿，M份额100亿，N份额100亿</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苏银理财有权根据投资运作情况，调整初始募集规模和存续规模。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份额面值</w:t>
            </w:r>
          </w:p>
        </w:tc>
        <w:tc>
          <w:tcPr>
            <w:tcW w:w="6468" w:type="dxa"/>
            <w:noWrap w:val="0"/>
            <w:vAlign w:val="center"/>
          </w:tcPr>
          <w:p>
            <w:pPr>
              <w:pStyle w:val="34"/>
              <w:kinsoku w:val="0"/>
              <w:overflowPunct w:val="0"/>
              <w:spacing w:before="12"/>
              <w:ind w:left="59" w:leftChars="0"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2018年8月29日9:00到2018年9月3日17:00</w:t>
            </w:r>
          </w:p>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管理人在法律允许的范围内保留延长或提前终止产品募集期的权利。如有变动，实际产品募集期以管理人公告或各销售机构设置的募集时间为准。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468" w:type="dxa"/>
            <w:noWrap w:val="0"/>
            <w:vAlign w:val="center"/>
          </w:tcPr>
          <w:p>
            <w:pPr>
              <w:pStyle w:val="34"/>
              <w:kinsoku w:val="0"/>
              <w:overflowPunct w:val="0"/>
              <w:spacing w:before="12"/>
              <w:rPr>
                <w:rFonts w:ascii="楷体" w:hAnsi="楷体" w:eastAsia="楷体" w:cs="宋体"/>
                <w:spacing w:val="-2"/>
                <w:sz w:val="21"/>
                <w:szCs w:val="21"/>
              </w:rPr>
            </w:pPr>
            <w:r>
              <w:rPr>
                <w:rFonts w:hint="eastAsia" w:ascii="楷体" w:hAnsi="楷体" w:eastAsia="楷体" w:cs="宋体"/>
                <w:spacing w:val="-2"/>
                <w:sz w:val="21"/>
                <w:szCs w:val="21"/>
              </w:rPr>
              <w:t>2018年9月4日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lang w:eastAsia="zh-CN"/>
              </w:rPr>
            </w:pPr>
            <w:r>
              <w:rPr>
                <w:rFonts w:hint="eastAsia" w:ascii="楷体" w:hAnsi="楷体" w:eastAsia="楷体" w:cs="宋体"/>
                <w:spacing w:val="-2"/>
                <w:sz w:val="21"/>
                <w:szCs w:val="21"/>
              </w:rPr>
              <w:t>2018年9月4日</w:t>
            </w:r>
            <w:r>
              <w:rPr>
                <w:rFonts w:hint="eastAsia" w:ascii="楷体" w:hAnsi="楷体" w:eastAsia="楷体" w:cs="宋体"/>
                <w:spacing w:val="-2"/>
                <w:sz w:val="21"/>
                <w:szCs w:val="21"/>
                <w:lang w:eastAsia="zh-CN"/>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468" w:type="dxa"/>
            <w:noWrap w:val="0"/>
            <w:vAlign w:val="top"/>
          </w:tcPr>
          <w:p>
            <w:pPr>
              <w:pStyle w:val="34"/>
              <w:kinsoku w:val="0"/>
              <w:overflowPunct w:val="0"/>
              <w:spacing w:before="12"/>
              <w:ind w:left="2"/>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本产品封闭运作期结束后，自2</w:t>
            </w:r>
            <w:r>
              <w:rPr>
                <w:rFonts w:ascii="楷体" w:hAnsi="楷体" w:eastAsia="楷体" w:cs="宋体"/>
                <w:spacing w:val="-2"/>
                <w:sz w:val="21"/>
                <w:szCs w:val="21"/>
              </w:rPr>
              <w:t>0</w:t>
            </w:r>
            <w:r>
              <w:rPr>
                <w:rFonts w:hint="eastAsia" w:ascii="楷体" w:hAnsi="楷体" w:eastAsia="楷体" w:cs="宋体"/>
                <w:spacing w:val="-2"/>
                <w:sz w:val="21"/>
                <w:szCs w:val="21"/>
              </w:rPr>
              <w:t>18</w:t>
            </w:r>
            <w:r>
              <w:rPr>
                <w:rFonts w:ascii="楷体" w:hAnsi="楷体" w:eastAsia="楷体" w:cs="宋体"/>
                <w:spacing w:val="-2"/>
                <w:sz w:val="21"/>
                <w:szCs w:val="21"/>
              </w:rPr>
              <w:t>年</w:t>
            </w:r>
            <w:r>
              <w:rPr>
                <w:rFonts w:hint="eastAsia" w:ascii="楷体" w:hAnsi="楷体" w:eastAsia="楷体" w:cs="宋体"/>
                <w:spacing w:val="-2"/>
                <w:sz w:val="21"/>
                <w:szCs w:val="21"/>
              </w:rPr>
              <w:t>9月5</w:t>
            </w:r>
            <w:r>
              <w:rPr>
                <w:rFonts w:ascii="楷体" w:hAnsi="楷体" w:eastAsia="楷体" w:cs="宋体"/>
                <w:spacing w:val="-2"/>
                <w:sz w:val="21"/>
                <w:szCs w:val="21"/>
              </w:rPr>
              <w:t>日</w:t>
            </w:r>
            <w:r>
              <w:rPr>
                <w:rFonts w:hint="eastAsia" w:ascii="楷体" w:hAnsi="楷体" w:eastAsia="楷体" w:cs="宋体"/>
                <w:spacing w:val="-2"/>
                <w:sz w:val="21"/>
                <w:szCs w:val="21"/>
              </w:rPr>
              <w:t>起按工作日开放申购，苏银理财可根据资产运作情况、节假日、客户需求调整开放频率，并在调整前通过苏银理财官方网站公告。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bottom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468" w:type="dxa"/>
            <w:tcBorders>
              <w:bottom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468" w:type="dxa"/>
            <w:tcBorders>
              <w:top w:val="single" w:color="auto" w:sz="4" w:space="0"/>
              <w:left w:val="single" w:color="auto" w:sz="4" w:space="0"/>
              <w:bottom w:val="single" w:color="auto" w:sz="4" w:space="0"/>
              <w:right w:val="single" w:color="auto" w:sz="4" w:space="0"/>
            </w:tcBorders>
            <w:noWrap w:val="0"/>
            <w:vAlign w:val="center"/>
          </w:tcPr>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1、开放预约申购为每周四至下周三（以各销售机构设置的预约期为准），其中周三为产品开放日，投资者在非开放日的预约申购申请行为统一视为在产品开放日提交申购申请。申购截止时间不晚于产品开放日17:00（以各销售机构设置的截止时间为准），开放日截止时间前客户提交的申购申请均可以申请撤单。</w:t>
            </w:r>
          </w:p>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2、每周四为份额确认日，开放日受理的申购申请由管理人统一在周四予以确认。</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3、</w:t>
            </w:r>
            <w:r>
              <w:rPr>
                <w:rFonts w:hint="eastAsia" w:ascii="楷体" w:hAnsi="楷体" w:eastAsia="楷体" w:cs="宋体"/>
                <w:b/>
                <w:spacing w:val="-2"/>
                <w:kern w:val="0"/>
                <w:szCs w:val="21"/>
                <w:u w:val="single"/>
              </w:rPr>
              <w:t>若周三</w:t>
            </w:r>
            <w:r>
              <w:rPr>
                <w:rFonts w:hint="eastAsia" w:ascii="楷体" w:hAnsi="楷体" w:eastAsia="楷体" w:cs="宋体"/>
                <w:b/>
                <w:spacing w:val="-2"/>
                <w:kern w:val="0"/>
                <w:szCs w:val="21"/>
                <w:u w:val="single"/>
                <w:lang w:val="en-US" w:eastAsia="zh-CN"/>
              </w:rPr>
              <w:t>或</w:t>
            </w:r>
            <w:r>
              <w:rPr>
                <w:rFonts w:hint="eastAsia" w:ascii="楷体" w:hAnsi="楷体" w:eastAsia="楷体" w:cs="宋体"/>
                <w:b/>
                <w:spacing w:val="-2"/>
                <w:kern w:val="0"/>
                <w:szCs w:val="21"/>
                <w:u w:val="single"/>
              </w:rPr>
              <w:t>周四为非工作日，则开放日和确认日作相应调整，苏银理财将按说明书约定的信息披露方式予以披露，以相关披露内容为准。其他时间苏银理财不接受客户申购申请。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仅自动赎回。本产品以182天为1个投资周期，客户份额持有时间达到182天，系统自动发起赎回。</w:t>
            </w:r>
            <w:r>
              <w:rPr>
                <w:rFonts w:hint="eastAsia" w:ascii="楷体" w:hAnsi="楷体" w:eastAsia="楷体" w:cs="宋体"/>
                <w:b/>
                <w:spacing w:val="-2"/>
                <w:kern w:val="0"/>
                <w:szCs w:val="21"/>
                <w:u w:val="single"/>
              </w:rPr>
              <w:t>在未按约定运作满足够天数前客户无权提前赎回份额。如份额确认日对应的182天为非工作日，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将对自动赎回日进行动态调整，以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的公告和系统设置为准，在此情况情形下投资周期可能会略长于或短于182天</w:t>
            </w:r>
            <w:r>
              <w:rPr>
                <w:rFonts w:hint="eastAsia" w:ascii="楷体" w:hAnsi="楷体" w:eastAsia="楷体" w:cs="宋体"/>
                <w:spacing w:val="-2"/>
                <w:kern w:val="0"/>
                <w:szCs w:val="21"/>
              </w:rPr>
              <w:t>。</w:t>
            </w:r>
            <w:r>
              <w:rPr>
                <w:rFonts w:hint="eastAsia" w:ascii="楷体" w:hAnsi="楷体" w:eastAsia="楷体" w:cs="宋体"/>
                <w:b/>
                <w:color w:val="auto"/>
                <w:spacing w:val="-2"/>
                <w:kern w:val="0"/>
                <w:szCs w:val="21"/>
                <w:highlight w:val="none"/>
                <w:u w:val="single"/>
              </w:rPr>
              <w:t>苏银理财将</w:t>
            </w:r>
            <w:r>
              <w:rPr>
                <w:rFonts w:hint="eastAsia" w:ascii="楷体" w:hAnsi="楷体" w:eastAsia="楷体" w:cs="宋体"/>
                <w:b/>
                <w:color w:val="auto"/>
                <w:spacing w:val="-2"/>
                <w:kern w:val="0"/>
                <w:szCs w:val="21"/>
                <w:highlight w:val="none"/>
                <w:u w:val="single"/>
                <w:lang w:val="en-US" w:eastAsia="zh-CN"/>
              </w:rPr>
              <w:t>提前进行公告，客户可根据自身需要自主选择购买</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rPr>
              <w:t>自动赎回时按实际赎回日前一工作日产品单位净值计算客户赎回兑付金额，自动赎回不受巨额赎回限制。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468"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1、投资者提出认购/申购申请后，投资者认购/申购资金将会冻结在投资者资金账户上。冻结期间资金利息根据《理财产品（代理）销售协议书》相关条款确定。</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认购/申购份额的计算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投资者赎回资金将在赎回申请确认日后2个工作日内到达投资者资金账户。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b/>
                <w:bCs/>
                <w:spacing w:val="-2"/>
                <w:sz w:val="21"/>
                <w:szCs w:val="21"/>
                <w:u w:val="single"/>
              </w:rPr>
              <w:t>投资者持仓份额的产品净值可能含有未收取的超额业绩报酬，自动赎回兑付金额以实际入账金额为准。</w:t>
            </w: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终止日</w:t>
            </w:r>
          </w:p>
        </w:tc>
        <w:tc>
          <w:tcPr>
            <w:tcW w:w="6468" w:type="dxa"/>
            <w:noWrap w:val="0"/>
            <w:vAlign w:val="center"/>
          </w:tcPr>
          <w:p>
            <w:pPr>
              <w:pStyle w:val="34"/>
              <w:rPr>
                <w:rFonts w:hint="eastAsia" w:ascii="楷体" w:hAnsi="楷体" w:eastAsia="楷体" w:cs="宋体"/>
                <w:spacing w:val="-2"/>
                <w:sz w:val="21"/>
                <w:szCs w:val="21"/>
              </w:rPr>
            </w:pPr>
            <w:r>
              <w:rPr>
                <w:rFonts w:hint="eastAsia" w:ascii="楷体" w:hAnsi="楷体" w:eastAsia="楷体" w:cs="宋体"/>
                <w:spacing w:val="-2"/>
                <w:sz w:val="21"/>
                <w:szCs w:val="21"/>
              </w:rPr>
              <w:t>2038年9月3日（如遇节假日，顺延至下一工作日）</w:t>
            </w:r>
          </w:p>
          <w:p>
            <w:pPr>
              <w:pStyle w:val="34"/>
              <w:rPr>
                <w:rFonts w:hint="eastAsia"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lang w:val="en-US" w:eastAsia="zh-CN"/>
              </w:rPr>
              <w:t>一</w:t>
            </w:r>
            <w:r>
              <w:rPr>
                <w:rFonts w:hint="eastAsia" w:ascii="楷体" w:hAnsi="楷体" w:eastAsia="楷体" w:cs="宋体"/>
                <w:spacing w:val="-2"/>
                <w:sz w:val="21"/>
                <w:szCs w:val="21"/>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atLeast"/>
          <w:jc w:val="center"/>
        </w:trPr>
        <w:tc>
          <w:tcPr>
            <w:tcW w:w="1848" w:type="dxa"/>
            <w:noWrap w:val="0"/>
            <w:vAlign w:val="center"/>
          </w:tcPr>
          <w:p>
            <w:pPr>
              <w:pStyle w:val="34"/>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2.20%-3.00%</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F份额：</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G份额：</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S份额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碳账户专享份额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K份额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2.35%-3.15%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Z份额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Q份额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JS鑫福款份额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2.35%-3.15%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2.15%-2.95%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M份额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left="103" w:right="103"/>
              <w:rPr>
                <w:rFonts w:hint="eastAsia" w:ascii="楷体" w:hAnsi="楷体" w:eastAsia="楷体" w:cs="宋体"/>
                <w:spacing w:val="-2"/>
                <w:sz w:val="21"/>
                <w:szCs w:val="21"/>
              </w:rPr>
            </w:pPr>
            <w:r>
              <w:rPr>
                <w:rFonts w:hint="eastAsia" w:ascii="楷体" w:hAnsi="楷体" w:eastAsia="楷体" w:cs="宋体"/>
                <w:b/>
                <w:spacing w:val="-2"/>
                <w:sz w:val="21"/>
                <w:szCs w:val="21"/>
                <w:u w:val="single"/>
              </w:rPr>
              <w:t>产品存续期内管理人有权根据产品投资运作情况、市场情况调整业绩比较基准，并至少于调整前</w:t>
            </w:r>
            <w:r>
              <w:rPr>
                <w:rFonts w:hint="eastAsia" w:ascii="楷体" w:hAnsi="楷体" w:eastAsia="楷体" w:cs="宋体"/>
                <w:b/>
                <w:spacing w:val="-2"/>
                <w:sz w:val="21"/>
                <w:szCs w:val="21"/>
                <w:u w:val="single"/>
                <w:lang w:val="en-US" w:eastAsia="zh-CN"/>
              </w:rPr>
              <w:t>2</w:t>
            </w:r>
            <w:r>
              <w:rPr>
                <w:rFonts w:hint="eastAsia" w:ascii="楷体" w:hAnsi="楷体" w:eastAsia="楷体" w:cs="宋体"/>
                <w:b/>
                <w:spacing w:val="-2"/>
                <w:sz w:val="21"/>
                <w:szCs w:val="21"/>
                <w:u w:val="single"/>
              </w:rPr>
              <w:t>个工作日发布调整公告，如有调整以管理人公告为准。调整后的产品业绩比较基准适用于新确认份额，为管理人新设定的投资目标。</w:t>
            </w:r>
          </w:p>
          <w:p>
            <w:pPr>
              <w:pStyle w:val="34"/>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w:t>
            </w:r>
            <w:r>
              <w:rPr>
                <w:rFonts w:hint="eastAsia" w:ascii="楷体" w:hAnsi="楷体" w:eastAsia="楷体" w:cs="宋体"/>
                <w:spacing w:val="-2"/>
                <w:sz w:val="21"/>
                <w:szCs w:val="21"/>
              </w:rPr>
              <w:t>，综合考虑各份额收取的</w:t>
            </w:r>
            <w:r>
              <w:rPr>
                <w:rFonts w:hint="eastAsia" w:ascii="楷体" w:hAnsi="楷体" w:eastAsia="楷体" w:cs="宋体"/>
                <w:spacing w:val="-2"/>
                <w:sz w:val="21"/>
                <w:szCs w:val="21"/>
                <w:lang w:val="en-US" w:eastAsia="zh-CN"/>
              </w:rPr>
              <w:t>费用</w:t>
            </w:r>
            <w:r>
              <w:rPr>
                <w:rFonts w:hint="eastAsia" w:ascii="楷体" w:hAnsi="楷体" w:eastAsia="楷体" w:cs="宋体"/>
                <w:spacing w:val="-2"/>
                <w:sz w:val="21"/>
                <w:szCs w:val="21"/>
              </w:rPr>
              <w:t>情况，</w:t>
            </w:r>
            <w:r>
              <w:rPr>
                <w:rFonts w:ascii="楷体" w:hAnsi="楷体" w:eastAsia="楷体" w:cs="宋体"/>
                <w:spacing w:val="-2"/>
                <w:sz w:val="21"/>
                <w:szCs w:val="21"/>
              </w:rPr>
              <w:t>模拟测算得出</w:t>
            </w:r>
            <w:r>
              <w:rPr>
                <w:rFonts w:hint="eastAsia" w:ascii="楷体" w:hAnsi="楷体" w:eastAsia="楷体" w:cs="宋体"/>
                <w:spacing w:val="-2"/>
                <w:sz w:val="21"/>
                <w:szCs w:val="21"/>
              </w:rPr>
              <w:t>业绩比较基准。）</w:t>
            </w:r>
          </w:p>
          <w:p>
            <w:pPr>
              <w:pStyle w:val="34"/>
              <w:kinsoku w:val="0"/>
              <w:overflowPunct w:val="0"/>
              <w:spacing w:before="37" w:line="273" w:lineRule="auto"/>
              <w:ind w:right="103"/>
              <w:rPr>
                <w:rFonts w:ascii="楷体" w:hAnsi="楷体" w:eastAsia="楷体" w:cs="宋体"/>
                <w:spacing w:val="-2"/>
                <w:sz w:val="21"/>
                <w:szCs w:val="21"/>
              </w:rPr>
            </w:pPr>
            <w:r>
              <w:rPr>
                <w:rFonts w:hint="eastAsia" w:ascii="楷体" w:hAnsi="楷体" w:eastAsia="楷体" w:cs="宋体"/>
                <w:b/>
                <w:spacing w:val="-2"/>
                <w:sz w:val="21"/>
                <w:szCs w:val="21"/>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8"/>
              <w:ind w:left="4"/>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468" w:type="dxa"/>
            <w:noWrap w:val="0"/>
            <w:vAlign w:val="center"/>
          </w:tcPr>
          <w:p>
            <w:pPr>
              <w:jc w:val="left"/>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本产品费用包括托管费、销售服务费、投资管理费和超额业绩报酬（若有）以及产品运作和清算中产生的其他费用等。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/Z/Q/</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-尊享款/北部湾银行专属/P/I份额为0.30%/年，其他份额为</w:t>
            </w:r>
            <w:r>
              <w:rPr>
                <w:rFonts w:hint="eastAsia" w:ascii="楷体" w:hAnsi="楷体" w:eastAsia="楷体" w:cs="宋体"/>
                <w:spacing w:val="-2"/>
                <w:szCs w:val="21"/>
              </w:rPr>
              <w:t>0.20%/年；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3．投资管理费率：0.50%/年。</w:t>
            </w:r>
          </w:p>
          <w:p>
            <w:pPr>
              <w:ind w:right="115" w:rightChars="55"/>
              <w:rPr>
                <w:rFonts w:ascii="楷体" w:hAnsi="楷体" w:eastAsia="楷体" w:cs="宋体"/>
                <w:spacing w:val="-2"/>
                <w:szCs w:val="21"/>
              </w:rPr>
            </w:pPr>
            <w:r>
              <w:rPr>
                <w:rFonts w:hint="eastAsia" w:ascii="楷体" w:hAnsi="楷体" w:eastAsia="楷体" w:cs="宋体"/>
                <w:spacing w:val="-2"/>
                <w:szCs w:val="21"/>
              </w:rPr>
              <w:t>4. 超额业绩报酬</w:t>
            </w:r>
            <w:r>
              <w:rPr>
                <w:rFonts w:hint="eastAsia" w:ascii="楷体" w:hAnsi="楷体" w:eastAsia="楷体" w:cs="宋体"/>
                <w:spacing w:val="-2"/>
                <w:szCs w:val="21"/>
                <w:highlight w:val="none"/>
                <w:lang w:val="en-US" w:eastAsia="zh-CN"/>
              </w:rPr>
              <w:t>：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若市场情况发生重大变化，或因维护本产品正常运作需要等情形，</w:t>
            </w:r>
            <w:r>
              <w:rPr>
                <w:rFonts w:hint="eastAsia" w:ascii="楷体" w:hAnsi="楷体" w:eastAsia="楷体" w:cs="宋体"/>
                <w:spacing w:val="-2"/>
                <w:szCs w:val="21"/>
                <w:highlight w:val="none"/>
              </w:rPr>
              <w:t>苏银理财可对产品费用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highlight w:val="none"/>
              </w:rPr>
              <w:t>，</w:t>
            </w:r>
            <w:r>
              <w:rPr>
                <w:rFonts w:hint="eastAsia" w:ascii="楷体" w:hAnsi="楷体" w:eastAsia="楷体" w:cs="宋体"/>
                <w:spacing w:val="-2"/>
                <w:szCs w:val="21"/>
                <w:highlight w:val="none"/>
                <w:lang w:val="en-US" w:eastAsia="zh-CN"/>
              </w:rPr>
              <w:t>管理人将提前2个工作日通过苏银理财有限责任公司官方网站（www.suyinwealth.com）以及销售机构进行公告</w:t>
            </w:r>
            <w:r>
              <w:rPr>
                <w:rFonts w:hint="eastAsia" w:ascii="楷体" w:hAnsi="楷体" w:eastAsia="楷体" w:cs="宋体"/>
                <w:spacing w:val="-2"/>
                <w:szCs w:val="21"/>
                <w:highlight w:val="none"/>
              </w:rPr>
              <w:t>。</w:t>
            </w: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5"/>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w:t>
      </w:r>
      <w:r>
        <w:rPr>
          <w:rFonts w:hint="eastAsia" w:ascii="楷体" w:hAnsi="楷体" w:eastAsia="楷体"/>
          <w:b/>
          <w:sz w:val="24"/>
          <w:szCs w:val="24"/>
          <w:u w:val="single"/>
          <w:lang w:val="en-US" w:eastAsia="zh-CN"/>
        </w:rPr>
        <w:t>销售</w:t>
      </w:r>
      <w:r>
        <w:rPr>
          <w:rFonts w:hint="eastAsia" w:ascii="楷体" w:hAnsi="楷体" w:eastAsia="楷体"/>
          <w:b/>
          <w:sz w:val="24"/>
          <w:szCs w:val="24"/>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3"/>
        <w:gridCol w:w="3166"/>
        <w:gridCol w:w="3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3824"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75"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A份额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代发专享份额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default"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E50份额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G份额</w:t>
            </w:r>
          </w:p>
        </w:tc>
        <w:tc>
          <w:tcPr>
            <w:tcW w:w="1857" w:type="pct"/>
            <w:tcBorders>
              <w:top w:val="single" w:color="auto"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浙江富阳农村商业银行股份有限公司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浙江义乌农村商业银行股份有限公司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河北银行股份有限公司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碳账户专享份额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宁波甬城农村商业银行股份有限公司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浙江浦江农村商业银行股份有限公司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浙江遂昌农村商业银行股份有限公司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浙江南浔农村商业银行股份有限公司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浙江温州鹿城农村商业银行股份有限公司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宁波镇海农村商业银行股份有限公司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浙江萧山农村商业银行股份有限公司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湖州吴兴农村商业银行股份有限公司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浙江天台农村商业银行股份有限公司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宁波北仑农村商业银行股份有限公司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浙江民泰商业银行股份有限公司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浙江仙居农村商业银行股份有限公司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浙江桐庐农村商业银行股份有限公司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浙江江山农村商业银行股份有限公司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浙江安吉农村商业银行股份有限公司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浙江禾城农村商业银行股份有限公司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宁波慈溪农村商业银行股份有限公司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浙江台州路桥农村商业银行股份有限公司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浙江台州黄岩农村商业银行股份有限公司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JS鑫福款份额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江苏苏州农村商业银行股份有限公司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江苏太仓农村商业银行股份有限公司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芙蓉锦程·优选-尊享款份额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北部湾银行专属份额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c>
          <w:tcPr>
            <w:tcW w:w="1967" w:type="pct"/>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鑫福款份额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JS鑫福优享份额</w:t>
            </w:r>
          </w:p>
        </w:tc>
        <w:tc>
          <w:tcPr>
            <w:tcW w:w="3166" w:type="dxa"/>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c>
          <w:tcPr>
            <w:tcW w:w="3353" w:type="dxa"/>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JS鑫福尊享份额</w:t>
            </w:r>
          </w:p>
        </w:tc>
        <w:tc>
          <w:tcPr>
            <w:tcW w:w="3166" w:type="dxa"/>
            <w:tcBorders>
              <w:top w:val="single" w:color="auto" w:sz="4" w:space="0"/>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top w:val="single" w:color="auto" w:sz="4" w:space="0"/>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1967" w:type="pct"/>
            <w:tcBorders>
              <w:top w:val="nil"/>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N份额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760"/>
        <w:gridCol w:w="5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rPr>
            </w:pPr>
            <w:r>
              <w:rPr>
                <w:rFonts w:hint="default"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r>
              <w:rPr>
                <w:rFonts w:hint="eastAsia" w:ascii="楷体" w:hAnsi="楷体" w:eastAsia="楷体"/>
                <w:b w:val="0"/>
                <w:bCs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rPr>
            </w:pPr>
            <w:r>
              <w:rPr>
                <w:rFonts w:hint="eastAsia" w:ascii="楷体" w:hAnsi="楷体" w:eastAsia="楷体"/>
                <w:b w:val="0"/>
                <w:bCs w:val="0"/>
                <w:sz w:val="20"/>
                <w:szCs w:val="18"/>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创金合信基金管理有限公司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东方财富证券股份有限公司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大家资产管理有限责任公司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中信期货有限公司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中信期货有限公司（以下简称“中信期货”）成立于1993年3月，为中信证券股份有限公司的全资子公司，注册资本56亿元，总部设在深圳。公司主要开展商品期货经纪、金融期货经纪、期货投资咨询、资产管理和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华润深国投信托有限公司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华润信托于1982年8月24日成立，原名为深圳市信托投资公司，注册资本人民币5,813万元。目前，公司注册资本人民币110亿元，华润金控投资有限公司持有公司51%股权，深圳市投资控股有限公司持有公司49%股权。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永诚保险资产管理有限公司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安联保险资产管理有限公司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中国对外经济贸易信托有限公司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中国对外经济贸易信托有限公司（以下简称“外贸信托”）成立于1987年9月，控股股东为中化资本有限公司，持股比例97.26%，注册资本80亿元，注册地在北京。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长城财富保险资产管理股份有限公司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平安信托有限责任公司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平安信托有限责任公司（以下简称“平安信托”）成立于1996年4月9日；平安信托股东实力雄厚，是中国平安保险（集团）股份有限公司（以下简称“中国平安”）的控股子公司，是中国平安在香港联交所（2318.HK）和上海证券交易所（601318）整体上市的重要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中粮信托有限责任公司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南华基金管理有限公司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南华基金管理有限公司于2016年10月18日由中国证监会核准设立，2016年11月17日经工商注册登记成立，经营范围为基金募集、基金销售、资产管理、特定客户资产管理和中国证监会许可的其他业务。公司是国内第一家由期货公司全资出资成立的公募基金公司，南华期货股份有限公司为公司全资股东，持股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英大保险资产管理有限公司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国联民生证券股份有限公司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国联民生证券股份有限公司创立于1992年11月，前身为无锡市证券公司,2008年5月通过改制更名为国联证券股份有限公司,2015年7月6日在中国香港联合交易所上市(股票代码:01456),2020年7月31日在上海证券交易所上市(股票代码:601456),2025年2月7日更名为国联民生证券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太平洋资产管理有限责任公司（以下简称“太保资产”或“公司”）是中国太平洋保险（集团）股份有限公司控股下的资产管理公司。公司注册资本人民币21亿元。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成立于1993年，公司注册地及总部在苏州，注册资本50.08亿元。公司下属21个分公司，拥有证券营业部135家，下设全资子公司东吴创业投资有限公司、东吴创新资本管理有限公司、东吴证券（香港）金融控股有限公司，并控股东吴基金管理有限公司、东吴期货有限公司和东吴证券中新（新加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由南京银行股份有限公司（持股比例80%）发起，与南京高科股份有限公司（持股比例20%）联合组建，于2013年8月成立，是国内首批获准设立的城商行系基金公司。鑫元基金注册资本金2亿元人民币，总部设在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光大永明资产管理股份有限公司成立时的原注册资本为人民币1亿元，其中各股东的持股比例为：光大永明人寿保险有限公司持有99%的股权和中国光大集团持有1%的股权。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建信保险资产管理有限公司（简称“建信资管”）是由建信保险资管注册地点位于深圳市福田区,总部位于上海陆家嘴，是国内首家银行系保险资产管理公司。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新华资产管理股份有限公司成立于2006年5月，是国内首批专业保险资产管理机构，前身为新华人寿保险股份有限公司投资管理中心，控股股东为新华人寿保险股份有限公司。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以下简称“公司”或“国联证券资管”）为国联民生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华鑫证券是上海仪电（集团）有限公司控股的A股上市公司上海华鑫股份有限公司（股票代码：600621）的全资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诺德基金管理有限公司成立于2006年，股东为天府清源控股有限公司、北京天朗云创信息技术有限公司，总部位于上海陆家嘴，注册资本1亿元。截至2024年12月31日，公司超160人的团队管理超700亿元资产。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rPr>
          <w:rFonts w:ascii="楷体" w:hAnsi="楷体" w:eastAsia="楷体"/>
          <w:b/>
          <w:sz w:val="24"/>
          <w:szCs w:val="24"/>
        </w:rPr>
      </w:pPr>
    </w:p>
    <w:p>
      <w:pPr>
        <w:ind w:firstLine="480" w:firstLine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lang w:val="en-US" w:eastAsia="zh-CN"/>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lang w:eastAsia="zh-CN"/>
        </w:rPr>
        <w:t>。</w:t>
      </w: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6"/>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参与主体用语</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二</w:t>
      </w:r>
      <w:r>
        <w:rPr>
          <w:rFonts w:hint="eastAsia" w:ascii="楷体" w:hAnsi="楷体" w:eastAsia="楷体" w:cs="Calibri"/>
          <w:b/>
          <w:bCs/>
          <w:sz w:val="24"/>
          <w:szCs w:val="24"/>
          <w:lang w:eastAsia="zh-CN"/>
        </w:rPr>
        <w:t>）</w:t>
      </w:r>
      <w:r>
        <w:rPr>
          <w:rFonts w:hint="eastAsia" w:ascii="楷体" w:hAnsi="楷体" w:eastAsia="楷体" w:cs="Calibri"/>
          <w:b/>
          <w:bCs/>
          <w:sz w:val="24"/>
          <w:szCs w:val="24"/>
        </w:rPr>
        <w:t>理财产品用语</w:t>
      </w:r>
    </w:p>
    <w:p>
      <w:pPr>
        <w:numPr>
          <w:ilvl w:val="0"/>
          <w:numId w:val="1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1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本产品：指“苏银理财恒源融达1号”理财产品。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产品负债总值：指产品运作及融资时形成的负债价值总和，包括融资资金本息、应付各项费用（包括托管费、销售</w:t>
      </w:r>
      <w:r>
        <w:rPr>
          <w:rFonts w:ascii="楷体" w:hAnsi="楷体" w:eastAsia="楷体" w:cs="Calibri"/>
          <w:sz w:val="24"/>
          <w:szCs w:val="24"/>
        </w:rPr>
        <w:t>服务费、</w:t>
      </w:r>
      <w:r>
        <w:rPr>
          <w:rFonts w:hint="eastAsia" w:ascii="楷体" w:hAnsi="楷体" w:eastAsia="楷体" w:cs="Calibri"/>
          <w:sz w:val="24"/>
          <w:szCs w:val="24"/>
        </w:rPr>
        <w:t>投资管理费、超额业绩报酬、其他费用等）、应付税金及其他应付款项等。</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产品份额累计净值：指理财产品份额的单位净值与理财产品成立后历次累计单位收益分配的总和。</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18"/>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认购：指投资者根据理财产品说明书约定在募集期内申请购买本产品理财产品份额的行为。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18"/>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流动性受限资产：</w:t>
      </w:r>
      <w:r>
        <w:rPr>
          <w:rFonts w:hint="eastAsia" w:ascii="楷体" w:hAnsi="楷体" w:eastAsia="楷体" w:cs="Calibri"/>
          <w:kern w:val="2"/>
          <w:sz w:val="24"/>
          <w:szCs w:val="24"/>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lang w:val="en-US" w:eastAsia="zh-CN"/>
        </w:rPr>
        <w:t>法律法规或监管机构另有规定的，从其规定。</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rPr>
        <w:t>7个工作日可变现资产</w:t>
      </w:r>
      <w:r>
        <w:rPr>
          <w:rFonts w:hint="eastAsia" w:ascii="楷体" w:hAnsi="楷体" w:eastAsia="楷体" w:cs="Calibri"/>
          <w:kern w:val="2"/>
          <w:sz w:val="24"/>
          <w:szCs w:val="24"/>
          <w:lang w:eastAsia="zh-CN"/>
        </w:rPr>
        <w:t>：</w:t>
      </w:r>
      <w:r>
        <w:rPr>
          <w:rFonts w:hint="eastAsia" w:ascii="楷体" w:hAnsi="楷体" w:eastAsia="楷体" w:cs="Calibri"/>
          <w:kern w:val="2"/>
          <w:sz w:val="24"/>
          <w:szCs w:val="24"/>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期间与日期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9"/>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四</w:t>
      </w:r>
      <w:r>
        <w:rPr>
          <w:rFonts w:hint="eastAsia" w:ascii="楷体" w:hAnsi="楷体" w:eastAsia="楷体" w:cs="Calibri"/>
          <w:b/>
          <w:bCs/>
          <w:sz w:val="24"/>
          <w:szCs w:val="24"/>
          <w:lang w:eastAsia="zh-CN"/>
        </w:rPr>
        <w:t>）</w:t>
      </w:r>
      <w:r>
        <w:rPr>
          <w:rFonts w:hint="eastAsia" w:ascii="楷体" w:hAnsi="楷体" w:eastAsia="楷体" w:cs="Calibri"/>
          <w:b/>
          <w:bCs/>
          <w:sz w:val="24"/>
          <w:szCs w:val="24"/>
        </w:rPr>
        <w:t>其他</w:t>
      </w:r>
    </w:p>
    <w:p>
      <w:pPr>
        <w:numPr>
          <w:ilvl w:val="0"/>
          <w:numId w:val="2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2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2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21"/>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21"/>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（5）网络系统遭受攻击、电信部门技术调整或故障等原因导致的服务中断和延迟等。</w:t>
      </w:r>
    </w:p>
    <w:p>
      <w:pPr>
        <w:numPr>
          <w:ilvl w:val="0"/>
          <w:numId w:val="14"/>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w:t>
      </w:r>
      <w:bookmarkStart w:id="0" w:name="_GoBack"/>
      <w:bookmarkEnd w:id="0"/>
      <w:r>
        <w:rPr>
          <w:rFonts w:hint="eastAsia" w:ascii="楷体" w:hAnsi="楷体" w:eastAsia="楷体"/>
          <w:b/>
          <w:sz w:val="24"/>
          <w:szCs w:val="24"/>
          <w:u w:val="single"/>
        </w:rPr>
        <w:t>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和投资比例：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投资集中度限制</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1.</w:t>
      </w: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22"/>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rPr>
        <w:t>本理财产品资产总值/理财产品资产净值不超过</w:t>
      </w:r>
      <w:r>
        <w:rPr>
          <w:rFonts w:hint="eastAsia" w:ascii="楷体" w:hAnsi="楷体" w:eastAsia="楷体"/>
          <w:sz w:val="24"/>
          <w:szCs w:val="24"/>
          <w:lang w:val="en-US" w:eastAsia="zh-CN"/>
        </w:rPr>
        <w:t>140</w:t>
      </w:r>
      <w:r>
        <w:rPr>
          <w:rFonts w:hint="eastAsia" w:ascii="楷体" w:hAnsi="楷体" w:eastAsia="楷体"/>
          <w:sz w:val="24"/>
          <w:szCs w:val="24"/>
        </w:rPr>
        <w:t>%（如监管有最新规定的参照监管规定调整）。</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4"/>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23"/>
        </w:numPr>
        <w:tabs>
          <w:tab w:val="left" w:pos="993"/>
        </w:tabs>
        <w:ind w:left="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认购期间：2018年8月29日9:00到2018年9月3日17:00</w:t>
      </w:r>
      <w:r>
        <w:rPr>
          <w:rFonts w:hint="eastAsia" w:ascii="楷体" w:hAnsi="楷体" w:eastAsia="楷体" w:cs="Calibri"/>
          <w:sz w:val="24"/>
          <w:szCs w:val="24"/>
          <w:lang w:eastAsia="zh-CN"/>
        </w:rPr>
        <w:t>。</w:t>
      </w:r>
      <w:r>
        <w:rPr>
          <w:rFonts w:hint="eastAsia" w:ascii="楷体" w:hAnsi="楷体" w:eastAsia="楷体"/>
          <w:sz w:val="24"/>
          <w:szCs w:val="24"/>
        </w:rPr>
        <w:t>（以各销售机构设置的认购时间为准）</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本理财产品采取金额认购，投资者单笔认申购起点金额及追加金额如下表：</w:t>
      </w:r>
    </w:p>
    <w:tbl>
      <w:tblPr>
        <w:tblStyle w:val="15"/>
        <w:tblW w:w="0" w:type="auto"/>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530"/>
        <w:gridCol w:w="1695"/>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J180409SA86B</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J180409SA86D</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0.01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J180409SA86E</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J180409SA86F</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p>
        </w:tc>
        <w:tc>
          <w:tcPr>
            <w:tcW w:w="1530"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J02453</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J02764</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J02767</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10万元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w:t>
            </w:r>
            <w:r>
              <w:rPr>
                <w:rFonts w:hint="eastAsia" w:ascii="楷体" w:hAnsi="楷体" w:eastAsia="楷体" w:cs="宋体"/>
                <w:spacing w:val="-2"/>
                <w:sz w:val="21"/>
                <w:szCs w:val="21"/>
                <w:lang w:val="en-US" w:eastAsia="zh-CN"/>
              </w:rPr>
              <w:t>号6月（碳账户专享）</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J03363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J03473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w:t>
            </w:r>
            <w:r>
              <w:rPr>
                <w:rFonts w:hint="eastAsia" w:ascii="楷体" w:hAnsi="楷体" w:eastAsia="楷体" w:cs="Calibri"/>
                <w:szCs w:val="21"/>
                <w:lang w:val="en-US" w:eastAsia="zh-CN"/>
              </w:rPr>
              <w:t>亿</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J03506</w:t>
            </w:r>
          </w:p>
        </w:tc>
        <w:tc>
          <w:tcPr>
            <w:tcW w:w="1695"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5万元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J03612</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苏银理财恒源融达1号6月JS鑫福款</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J03807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苏银理财恒源融达1号6月（芙蓉锦程·优选-尊享款）</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J04954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苏银理财恒源融达1号6月（北部湾银行专属）</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J07237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0.0</w:t>
            </w: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J07303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苏银理财恒源融达1号6月I</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J10363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苏银理财恒源融达1号6月鑫福款</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J12106</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苏银理财恒源融达1号6月JS鑫福优享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苏银理财恒源融达1号6月JS鑫福尊享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J12108</w:t>
            </w:r>
          </w:p>
        </w:tc>
        <w:tc>
          <w:tcPr>
            <w:tcW w:w="1695" w:type="dxa"/>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50万</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Cs w:val="21"/>
              </w:rPr>
              <w:t xml:space="preserve"> </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1万元的整数倍</w:t>
            </w:r>
          </w:p>
        </w:tc>
      </w:tr>
    </w:tbl>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w:t>
      </w:r>
      <w:r>
        <w:rPr>
          <w:rFonts w:hint="eastAsia" w:ascii="楷体" w:hAnsi="楷体" w:eastAsia="楷体" w:cs="Calibri"/>
          <w:sz w:val="24"/>
          <w:szCs w:val="24"/>
          <w:lang w:val="en-US" w:eastAsia="zh-CN"/>
        </w:rPr>
        <w:t>/申购</w:t>
      </w:r>
      <w:r>
        <w:rPr>
          <w:rFonts w:hint="eastAsia" w:ascii="楷体" w:hAnsi="楷体" w:eastAsia="楷体" w:cs="Calibri"/>
          <w:sz w:val="24"/>
          <w:szCs w:val="24"/>
        </w:rPr>
        <w:t>上限：</w:t>
      </w:r>
    </w:p>
    <w:p>
      <w:pPr>
        <w:tabs>
          <w:tab w:val="left" w:pos="993"/>
        </w:tabs>
        <w:ind w:left="420" w:leftChars="200"/>
        <w:rPr>
          <w:rFonts w:hint="eastAsia" w:ascii="楷体" w:hAnsi="楷体" w:eastAsia="楷体" w:cs="Calibri"/>
          <w:sz w:val="24"/>
          <w:szCs w:val="24"/>
        </w:rPr>
      </w:pPr>
      <w:r>
        <w:rPr>
          <w:rFonts w:hint="eastAsia" w:ascii="楷体" w:hAnsi="楷体" w:eastAsia="楷体" w:cs="Calibri"/>
          <w:sz w:val="24"/>
          <w:szCs w:val="24"/>
        </w:rPr>
        <w:t>暂无。</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highlight w:val="none"/>
        </w:rPr>
        <w:t>产品份额于2018年9月4日进行份额登记。</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4"/>
        </w:numPr>
        <w:tabs>
          <w:tab w:val="left" w:pos="1134"/>
        </w:tabs>
        <w:ind w:firstLine="482" w:firstLineChars="200"/>
        <w:outlineLvl w:val="1"/>
        <w:rPr>
          <w:rFonts w:hint="eastAsia" w:ascii="楷体" w:hAnsi="楷体" w:eastAsia="楷体"/>
          <w:b/>
          <w:sz w:val="28"/>
          <w:szCs w:val="28"/>
        </w:rPr>
      </w:pPr>
      <w:r>
        <w:rPr>
          <w:rFonts w:hint="eastAsia" w:ascii="楷体" w:hAnsi="楷体" w:eastAsia="楷体" w:cs="Calibri"/>
          <w:b/>
          <w:sz w:val="24"/>
          <w:szCs w:val="24"/>
        </w:rPr>
        <w:t xml:space="preserve"> </w:t>
      </w:r>
      <w:r>
        <w:rPr>
          <w:rFonts w:hint="eastAsia" w:ascii="楷体" w:hAnsi="楷体" w:eastAsia="楷体"/>
          <w:b/>
          <w:sz w:val="28"/>
          <w:szCs w:val="28"/>
        </w:rPr>
        <w:t>产品估值</w:t>
      </w:r>
    </w:p>
    <w:p>
      <w:pPr>
        <w:numPr>
          <w:ilvl w:val="0"/>
          <w:numId w:val="24"/>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估值要求</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w:t>
      </w:r>
      <w:r>
        <w:rPr>
          <w:rFonts w:hint="eastAsia" w:ascii="楷体" w:hAnsi="楷体" w:eastAsia="楷体" w:cs="Calibri"/>
          <w:sz w:val="24"/>
          <w:szCs w:val="24"/>
          <w:lang w:val="en-US" w:eastAsia="zh-CN"/>
        </w:rPr>
        <w:t>申购、赎回和</w:t>
      </w:r>
      <w:r>
        <w:rPr>
          <w:rFonts w:hint="eastAsia" w:ascii="楷体" w:hAnsi="楷体" w:eastAsia="楷体" w:cs="Calibri"/>
          <w:sz w:val="24"/>
          <w:szCs w:val="24"/>
        </w:rPr>
        <w:t>兑付提供计价依据。</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w:t>
      </w:r>
      <w:r>
        <w:rPr>
          <w:rFonts w:hint="eastAsia" w:ascii="楷体" w:hAnsi="楷体" w:eastAsia="楷体" w:cs="Calibri"/>
          <w:sz w:val="24"/>
          <w:szCs w:val="24"/>
          <w:lang w:val="en-US" w:eastAsia="zh-CN"/>
        </w:rPr>
        <w:t>6</w:t>
      </w:r>
      <w:r>
        <w:rPr>
          <w:rFonts w:hint="eastAsia" w:ascii="楷体" w:hAnsi="楷体" w:eastAsia="楷体" w:cs="Calibri"/>
          <w:sz w:val="24"/>
          <w:szCs w:val="24"/>
        </w:rPr>
        <w:t>位，小数点</w:t>
      </w:r>
      <w:r>
        <w:rPr>
          <w:rFonts w:hint="eastAsia" w:ascii="楷体" w:hAnsi="楷体" w:eastAsia="楷体" w:cs="Calibri"/>
          <w:sz w:val="24"/>
          <w:szCs w:val="24"/>
          <w:lang w:val="en-US" w:eastAsia="zh-CN"/>
        </w:rPr>
        <w:t>6</w:t>
      </w:r>
      <w:r>
        <w:rPr>
          <w:rFonts w:hint="eastAsia" w:ascii="楷体" w:hAnsi="楷体" w:eastAsia="楷体" w:cs="Calibri"/>
          <w:sz w:val="24"/>
          <w:szCs w:val="24"/>
        </w:rPr>
        <w:t>位后截位。</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r>
        <w:rPr>
          <w:rFonts w:hint="eastAsia" w:ascii="楷体" w:hAnsi="楷体" w:eastAsia="楷体" w:cs="Calibri"/>
          <w:sz w:val="24"/>
          <w:szCs w:val="24"/>
          <w:lang w:eastAsia="zh-CN"/>
        </w:rPr>
        <w:t>，</w:t>
      </w:r>
      <w:r>
        <w:rPr>
          <w:rFonts w:hint="eastAsia" w:ascii="楷体" w:hAnsi="楷体" w:eastAsia="楷体" w:cs="Calibri"/>
          <w:sz w:val="24"/>
          <w:szCs w:val="24"/>
        </w:rPr>
        <w:t>存续期内每周按说明书约定方式披露单位净值，每个开放日结束后2个工作日内通过本理财产品说明书约定方式披露上一投资周期终止日的单位净值、份额累计净值、申购价格和赎回价格。</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估值方法</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w:t>
      </w:r>
      <w:r>
        <w:rPr>
          <w:rFonts w:ascii="楷体" w:hAnsi="楷体" w:eastAsia="楷体" w:cs="Calibri"/>
          <w:sz w:val="24"/>
          <w:szCs w:val="24"/>
        </w:rPr>
        <w:t>基金：</w:t>
      </w:r>
      <w:r>
        <w:rPr>
          <w:rFonts w:hint="eastAsia" w:ascii="楷体" w:hAnsi="楷体" w:eastAsia="楷体" w:cs="Calibri"/>
          <w:sz w:val="24"/>
          <w:szCs w:val="24"/>
        </w:rPr>
        <w:t>以估值截止时间点能够取得的最新每万份收益进行估值。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4"/>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赎回金额=赎回份额*赎回日前一工作日产品单位净值-超额业绩报酬（若有）</w:t>
      </w:r>
    </w:p>
    <w:p>
      <w:pPr>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投资者持仓份额的产品净值可能含有未收取的超额业绩报酬，赎回兑付金额以实际入账金额为准。</w:t>
      </w:r>
    </w:p>
    <w:p>
      <w:pPr>
        <w:ind w:firstLine="480" w:firstLineChars="200"/>
        <w:rPr>
          <w:rFonts w:hint="eastAsia" w:ascii="楷体" w:hAnsi="楷体" w:eastAsia="楷体"/>
          <w:b/>
          <w:bCs/>
          <w:sz w:val="24"/>
          <w:szCs w:val="24"/>
          <w:u w:val="single"/>
        </w:rPr>
      </w:pPr>
      <w:r>
        <w:rPr>
          <w:rFonts w:hint="eastAsia" w:ascii="楷体" w:hAnsi="楷体" w:eastAsia="楷体"/>
          <w:sz w:val="24"/>
          <w:szCs w:val="24"/>
        </w:rPr>
        <w:t>赎回金额以四舍五入的方法保留到小数点后两位</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tabs>
          <w:tab w:val="left" w:pos="993"/>
        </w:tabs>
        <w:ind w:firstLine="482" w:firstLineChars="200"/>
        <w:rPr>
          <w:rFonts w:hint="eastAsia" w:ascii="楷体" w:hAnsi="楷体" w:eastAsia="楷体" w:cs="Calibri"/>
          <w:b/>
          <w:sz w:val="24"/>
          <w:szCs w:val="24"/>
          <w:u w:val="single"/>
          <w:lang w:eastAsia="zh-CN"/>
        </w:rPr>
      </w:pPr>
      <w:r>
        <w:rPr>
          <w:rFonts w:hint="eastAsia" w:ascii="楷体" w:hAnsi="楷体" w:eastAsia="楷体" w:cs="Calibri"/>
          <w:b/>
          <w:sz w:val="24"/>
          <w:szCs w:val="24"/>
          <w:u w:val="single"/>
        </w:rPr>
        <w:t>假设客户申购本产品</w:t>
      </w:r>
      <w:r>
        <w:rPr>
          <w:rFonts w:hint="eastAsia" w:ascii="楷体" w:hAnsi="楷体" w:eastAsia="楷体" w:cs="Calibri"/>
          <w:b/>
          <w:sz w:val="24"/>
          <w:szCs w:val="24"/>
          <w:u w:val="single"/>
          <w:lang w:val="en-US" w:eastAsia="zh-CN"/>
        </w:rPr>
        <w:t>A</w:t>
      </w:r>
      <w:r>
        <w:rPr>
          <w:rFonts w:hint="eastAsia" w:ascii="楷体" w:hAnsi="楷体" w:eastAsia="楷体" w:cs="Calibri"/>
          <w:b/>
          <w:sz w:val="24"/>
          <w:szCs w:val="24"/>
          <w:u w:val="single"/>
        </w:rPr>
        <w:t>份额1万元，公布的182天业绩比较基准</w:t>
      </w:r>
      <w:r>
        <w:rPr>
          <w:rFonts w:hint="eastAsia" w:ascii="楷体" w:hAnsi="楷体" w:eastAsia="楷体" w:cs="Calibri"/>
          <w:b/>
          <w:sz w:val="24"/>
          <w:szCs w:val="24"/>
          <w:u w:val="single"/>
          <w:lang w:val="en-US" w:eastAsia="zh-CN"/>
        </w:rPr>
        <w:t>为2.20</w:t>
      </w:r>
      <w:r>
        <w:rPr>
          <w:rFonts w:hint="eastAsia" w:ascii="楷体" w:hAnsi="楷体" w:eastAsia="楷体" w:cs="Calibri"/>
          <w:b/>
          <w:sz w:val="24"/>
          <w:szCs w:val="24"/>
          <w:u w:val="single"/>
        </w:rPr>
        <w:t>%</w:t>
      </w:r>
      <w:r>
        <w:rPr>
          <w:rFonts w:hint="eastAsia" w:ascii="楷体" w:hAnsi="楷体" w:eastAsia="楷体" w:cs="Calibri"/>
          <w:b/>
          <w:sz w:val="24"/>
          <w:szCs w:val="24"/>
          <w:u w:val="single"/>
          <w:lang w:val="en-US" w:eastAsia="zh-CN"/>
        </w:rPr>
        <w:t>-3.00%</w:t>
      </w:r>
      <w:r>
        <w:rPr>
          <w:rFonts w:hint="eastAsia" w:ascii="楷体" w:hAnsi="楷体" w:eastAsia="楷体" w:cs="Calibri"/>
          <w:b/>
          <w:sz w:val="24"/>
          <w:szCs w:val="24"/>
          <w:u w:val="single"/>
          <w:lang w:eastAsia="zh-CN"/>
        </w:rPr>
        <w:t>。</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u w:val="single"/>
        </w:rPr>
        <w:t>客户份额确认时的产品净值为1.034613，客户确认份额为9665.45份。客户份额运作满182天自动赎回退出，根据赎回退出日的产品单位净值计算有以下</w:t>
      </w:r>
      <w:r>
        <w:rPr>
          <w:rFonts w:hint="eastAsia" w:ascii="楷体" w:hAnsi="楷体" w:eastAsia="楷体" w:cs="Calibri"/>
          <w:b/>
          <w:sz w:val="24"/>
          <w:szCs w:val="24"/>
          <w:u w:val="single"/>
          <w:lang w:val="en-US" w:eastAsia="zh-CN"/>
        </w:rPr>
        <w:t>3</w:t>
      </w:r>
      <w:r>
        <w:rPr>
          <w:rFonts w:hint="eastAsia" w:ascii="楷体" w:hAnsi="楷体" w:eastAsia="楷体" w:cs="Calibri"/>
          <w:b/>
          <w:sz w:val="24"/>
          <w:szCs w:val="24"/>
          <w:u w:val="single"/>
        </w:rPr>
        <w:t>种情形。</w:t>
      </w:r>
    </w:p>
    <w:p>
      <w:pPr>
        <w:numPr>
          <w:ilvl w:val="0"/>
          <w:numId w:val="2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ind w:firstLine="424" w:firstLineChars="177"/>
        <w:rPr>
          <w:rFonts w:ascii="楷体" w:hAnsi="楷体" w:eastAsia="楷体" w:cs="Calibri"/>
          <w:sz w:val="24"/>
          <w:szCs w:val="24"/>
        </w:rPr>
      </w:pPr>
      <w:r>
        <w:rPr>
          <w:rFonts w:hint="eastAsia" w:ascii="楷体" w:hAnsi="楷体" w:eastAsia="楷体" w:cs="Calibri"/>
          <w:sz w:val="24"/>
          <w:szCs w:val="24"/>
        </w:rPr>
        <w:t>假设赎回退出时产品单位净值为1.051812，客户份额持有期间净值增长率为</w:t>
      </w:r>
      <w:r>
        <w:rPr>
          <w:rFonts w:hint="eastAsia" w:ascii="楷体" w:hAnsi="楷体" w:eastAsia="楷体" w:cs="Calibri"/>
          <w:sz w:val="24"/>
          <w:szCs w:val="24"/>
          <w:lang w:val="en-US" w:eastAsia="zh-CN"/>
        </w:rPr>
        <w:t>3.33</w:t>
      </w:r>
      <w:r>
        <w:rPr>
          <w:rFonts w:hint="eastAsia" w:ascii="楷体" w:hAnsi="楷体" w:eastAsia="楷体" w:cs="Calibri"/>
          <w:sz w:val="24"/>
          <w:szCs w:val="24"/>
        </w:rPr>
        <w:t>%（大于业绩比较基准</w:t>
      </w:r>
      <w:r>
        <w:rPr>
          <w:rFonts w:hint="eastAsia" w:ascii="楷体" w:hAnsi="楷体" w:eastAsia="楷体" w:cs="Calibri"/>
          <w:sz w:val="24"/>
          <w:szCs w:val="24"/>
          <w:lang w:val="en-US" w:eastAsia="zh-CN"/>
        </w:rPr>
        <w:t>下限2.20%</w:t>
      </w:r>
      <w:r>
        <w:rPr>
          <w:rFonts w:hint="eastAsia" w:ascii="楷体" w:hAnsi="楷体" w:eastAsia="楷体" w:cs="Calibri"/>
          <w:sz w:val="24"/>
          <w:szCs w:val="24"/>
        </w:rPr>
        <w:t>），则管理人收取0.</w:t>
      </w:r>
      <w:r>
        <w:rPr>
          <w:rFonts w:hint="eastAsia" w:ascii="楷体" w:hAnsi="楷体" w:eastAsia="楷体" w:cs="Calibri"/>
          <w:sz w:val="24"/>
          <w:szCs w:val="24"/>
          <w:lang w:val="en-US" w:eastAsia="zh-CN"/>
        </w:rPr>
        <w:t>56</w:t>
      </w:r>
      <w:r>
        <w:rPr>
          <w:rFonts w:hint="eastAsia" w:ascii="楷体" w:hAnsi="楷体" w:eastAsia="楷体" w:cs="Calibri"/>
          <w:sz w:val="24"/>
          <w:szCs w:val="24"/>
        </w:rPr>
        <w:t>%</w:t>
      </w:r>
      <w:r>
        <w:rPr>
          <w:rFonts w:hint="eastAsia" w:ascii="楷体" w:hAnsi="楷体" w:eastAsia="楷体" w:cs="Calibri"/>
          <w:sz w:val="24"/>
          <w:szCs w:val="24"/>
          <w:lang w:val="en-US" w:eastAsia="zh-CN"/>
        </w:rPr>
        <w:t>的</w:t>
      </w:r>
      <w:r>
        <w:rPr>
          <w:rFonts w:hint="eastAsia" w:ascii="楷体" w:hAnsi="楷体" w:eastAsia="楷体" w:cs="Calibri"/>
          <w:sz w:val="24"/>
          <w:szCs w:val="24"/>
        </w:rPr>
        <w:t>超额业绩报酬，客户实际收益率为</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2</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假设赎回退出时产品单位净值为1.045832，客户份额持有期间净值增长率为</w:t>
      </w:r>
      <w:r>
        <w:rPr>
          <w:rFonts w:hint="eastAsia" w:ascii="楷体" w:hAnsi="楷体" w:eastAsia="楷体" w:cs="Calibri"/>
          <w:sz w:val="24"/>
          <w:szCs w:val="24"/>
          <w:lang w:val="en-US" w:eastAsia="zh-CN"/>
        </w:rPr>
        <w:t>2.17</w:t>
      </w:r>
      <w:r>
        <w:rPr>
          <w:rFonts w:hint="eastAsia" w:ascii="楷体" w:hAnsi="楷体" w:eastAsia="楷体" w:cs="Calibri"/>
          <w:sz w:val="24"/>
          <w:szCs w:val="24"/>
        </w:rPr>
        <w:t>%，客户按赎回退出时产品单位净值兑付，客户实际收益为</w:t>
      </w:r>
      <w:r>
        <w:rPr>
          <w:rFonts w:hint="eastAsia" w:ascii="楷体" w:hAnsi="楷体" w:eastAsia="楷体" w:cs="Calibri"/>
          <w:sz w:val="24"/>
          <w:szCs w:val="24"/>
          <w:lang w:val="en-US" w:eastAsia="zh-CN"/>
        </w:rPr>
        <w:t>2.17</w:t>
      </w:r>
      <w:r>
        <w:rPr>
          <w:rFonts w:hint="eastAsia" w:ascii="楷体" w:hAnsi="楷体" w:eastAsia="楷体" w:cs="Calibri"/>
          <w:sz w:val="24"/>
          <w:szCs w:val="24"/>
        </w:rPr>
        <w:t>%，管理人无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3</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假设赎回退出时产品净值为1.034513，客户份额持有期限净值增长率为-0.02%，客户按赎回退出日产品单位净值兑付，客户无收益，实际发生本金损失0.02%，管理人无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ind w:firstLine="424" w:firstLineChars="176"/>
        <w:rPr>
          <w:rFonts w:hint="eastAsia" w:ascii="楷体" w:hAnsi="楷体" w:eastAsia="楷体" w:cs="Calibri"/>
          <w:sz w:val="24"/>
          <w:szCs w:val="24"/>
        </w:rPr>
      </w:pP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tabs>
          <w:tab w:val="left" w:pos="1134"/>
        </w:tabs>
        <w:ind w:left="420" w:leftChars="200"/>
        <w:rPr>
          <w:rFonts w:hint="eastAsia" w:ascii="楷体" w:hAnsi="楷体" w:eastAsia="楷体"/>
          <w:b/>
          <w:sz w:val="28"/>
          <w:szCs w:val="28"/>
        </w:rPr>
      </w:pPr>
      <w:r>
        <w:rPr>
          <w:rFonts w:hint="eastAsia" w:ascii="楷体" w:hAnsi="楷体" w:eastAsia="楷体"/>
          <w:b/>
          <w:sz w:val="28"/>
          <w:szCs w:val="28"/>
        </w:rPr>
        <w:t>十一、理财产品的终止与清算</w:t>
      </w:r>
    </w:p>
    <w:p>
      <w:pPr>
        <w:numPr>
          <w:ilvl w:val="0"/>
          <w:numId w:val="29"/>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理财产品的终止</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r>
        <w:rPr>
          <w:rFonts w:hint="eastAsia" w:ascii="楷体" w:hAnsi="楷体" w:eastAsia="楷体" w:cs="Calibri"/>
          <w:sz w:val="24"/>
          <w:szCs w:val="24"/>
          <w:lang w:eastAsia="zh-CN"/>
        </w:rPr>
        <w:t>；</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r>
        <w:rPr>
          <w:rFonts w:hint="eastAsia" w:ascii="楷体" w:hAnsi="楷体" w:eastAsia="楷体" w:cs="Calibri"/>
          <w:sz w:val="24"/>
          <w:szCs w:val="24"/>
          <w:lang w:eastAsia="zh-CN"/>
        </w:rPr>
        <w:t>；</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30"/>
        </w:numPr>
        <w:tabs>
          <w:tab w:val="left" w:pos="728"/>
        </w:tabs>
        <w:ind w:left="0" w:firstLine="480" w:firstLineChars="200"/>
        <w:rPr>
          <w:rFonts w:hint="eastAsia" w:ascii="楷体" w:hAnsi="楷体" w:eastAsia="楷体" w:cs="Calibri"/>
          <w:b w:val="0"/>
          <w:color w:val="auto"/>
          <w:sz w:val="24"/>
          <w:szCs w:val="24"/>
        </w:rPr>
      </w:pPr>
      <w:r>
        <w:rPr>
          <w:rFonts w:hint="eastAsia" w:ascii="楷体" w:hAnsi="楷体" w:eastAsia="楷体" w:cs="Calibri"/>
          <w:b w:val="0"/>
          <w:color w:val="auto"/>
          <w:sz w:val="24"/>
          <w:szCs w:val="24"/>
          <w:lang w:val="en-US" w:eastAsia="zh-CN"/>
        </w:rPr>
        <w:t>正常兑付</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因不可抗力、市场发生重大变化等原因导致产品项下对应的投资标的无法及时变现、无法及时收回资金</w:t>
      </w:r>
      <w:r>
        <w:rPr>
          <w:rFonts w:hint="eastAsia" w:ascii="楷体" w:hAnsi="楷体" w:eastAsia="楷体" w:cs="Calibri"/>
          <w:sz w:val="24"/>
          <w:szCs w:val="24"/>
          <w:lang w:eastAsia="zh-CN"/>
        </w:rPr>
        <w:t>；</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ind w:firstLine="480" w:firstLineChars="200"/>
        <w:rPr>
          <w:rFonts w:hint="eastAsia"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9"/>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理财产品的清算</w:t>
      </w:r>
    </w:p>
    <w:p>
      <w:pPr>
        <w:numPr>
          <w:ilvl w:val="0"/>
          <w:numId w:val="3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十二、产品费用</w:t>
      </w:r>
    </w:p>
    <w:p>
      <w:pPr>
        <w:numPr>
          <w:ilvl w:val="0"/>
          <w:numId w:val="3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本产品费用包括托管费、销售服务费、投资管理费和超额业绩报酬（</w:t>
      </w:r>
      <w:r>
        <w:rPr>
          <w:rFonts w:hint="eastAsia" w:ascii="楷体" w:hAnsi="楷体" w:eastAsia="楷体"/>
          <w:sz w:val="24"/>
          <w:szCs w:val="24"/>
          <w:lang w:val="en-US" w:eastAsia="zh-CN"/>
        </w:rPr>
        <w:t>如</w:t>
      </w:r>
      <w:r>
        <w:rPr>
          <w:rFonts w:hint="eastAsia" w:ascii="楷体" w:hAnsi="楷体" w:eastAsia="楷体"/>
          <w:sz w:val="24"/>
          <w:szCs w:val="24"/>
        </w:rPr>
        <w:t>有）以及产品运作和清算中产生的其他费用等。</w:t>
      </w:r>
    </w:p>
    <w:p>
      <w:pPr>
        <w:numPr>
          <w:ilvl w:val="0"/>
          <w:numId w:val="3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计提方法、计提标准和支付方式</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每日应计提的托管费＝前一日的产品资产净值×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托管费率÷</w:t>
      </w:r>
      <w:r>
        <w:rPr>
          <w:rFonts w:ascii="楷体" w:hAnsi="楷体" w:eastAsia="楷体"/>
          <w:sz w:val="24"/>
          <w:szCs w:val="24"/>
        </w:rPr>
        <w:t>365</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销售服务费：本产品的销售服务费每日计提，按季支付，由销售机构收取。计算方法如下：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每日应计提的销售服务费＝前一日的产品资产净值×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销售服务费率÷</w:t>
      </w:r>
      <w:r>
        <w:rPr>
          <w:rFonts w:ascii="楷体" w:hAnsi="楷体" w:eastAsia="楷体"/>
          <w:sz w:val="24"/>
          <w:szCs w:val="24"/>
        </w:rPr>
        <w:t>365</w:t>
      </w:r>
    </w:p>
    <w:p>
      <w:pPr>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3.</w:t>
      </w:r>
      <w:r>
        <w:rPr>
          <w:rFonts w:hint="eastAsia" w:ascii="楷体" w:hAnsi="楷体" w:eastAsia="楷体" w:cs="Calibri"/>
          <w:sz w:val="24"/>
          <w:szCs w:val="24"/>
        </w:rPr>
        <w:t>投资管理费：本产品的投资管理费每日计提，按</w:t>
      </w:r>
      <w:r>
        <w:rPr>
          <w:rFonts w:hint="eastAsia" w:ascii="楷体" w:hAnsi="楷体" w:eastAsia="楷体" w:cs="Calibri"/>
          <w:sz w:val="24"/>
          <w:szCs w:val="24"/>
          <w:lang w:val="en-US" w:eastAsia="zh-CN"/>
        </w:rPr>
        <w:t>月</w:t>
      </w:r>
      <w:r>
        <w:rPr>
          <w:rFonts w:hint="eastAsia" w:ascii="楷体" w:hAnsi="楷体" w:eastAsia="楷体" w:cs="Calibri"/>
          <w:sz w:val="24"/>
          <w:szCs w:val="24"/>
        </w:rPr>
        <w:t>支付，由管理人收取。计算方法如下：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每日应计提的投资管理费＝前一日的产品资产净值×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投资管理费率÷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ind w:firstLine="480" w:firstLineChars="200"/>
        <w:rPr>
          <w:rFonts w:ascii="楷体" w:hAnsi="楷体" w:eastAsia="楷体"/>
          <w:sz w:val="24"/>
          <w:szCs w:val="24"/>
        </w:rPr>
      </w:pPr>
      <w:r>
        <w:rPr>
          <w:rFonts w:hint="eastAsia" w:ascii="楷体" w:hAnsi="楷体" w:eastAsia="楷体"/>
          <w:sz w:val="24"/>
          <w:szCs w:val="24"/>
        </w:rPr>
        <w:t>4.</w:t>
      </w:r>
      <w:r>
        <w:rPr>
          <w:rFonts w:hint="eastAsia" w:ascii="楷体" w:hAnsi="楷体" w:eastAsia="楷体" w:cs="Calibri"/>
          <w:sz w:val="24"/>
          <w:szCs w:val="24"/>
        </w:rPr>
        <w:t>超额业绩报酬：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十三、税收规定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tabs>
          <w:tab w:val="left" w:pos="1134"/>
        </w:tabs>
        <w:ind w:left="420" w:leftChars="200"/>
        <w:rPr>
          <w:rFonts w:hint="eastAsia" w:ascii="楷体" w:hAnsi="楷体" w:eastAsia="楷体"/>
          <w:b/>
          <w:sz w:val="28"/>
          <w:szCs w:val="28"/>
          <w:lang w:val="en-US" w:eastAsia="zh-CN"/>
        </w:rPr>
      </w:pPr>
      <w:r>
        <w:rPr>
          <w:rFonts w:hint="eastAsia" w:ascii="楷体" w:hAnsi="楷体" w:eastAsia="楷体"/>
          <w:b/>
          <w:sz w:val="28"/>
          <w:szCs w:val="28"/>
        </w:rPr>
        <w:t>十四、产品托管</w:t>
      </w:r>
      <w:r>
        <w:rPr>
          <w:rFonts w:hint="eastAsia" w:ascii="楷体" w:hAnsi="楷体" w:eastAsia="楷体"/>
          <w:b/>
          <w:sz w:val="28"/>
          <w:szCs w:val="28"/>
          <w:lang w:val="en-US" w:eastAsia="zh-CN"/>
        </w:rPr>
        <w:t>人</w:t>
      </w:r>
    </w:p>
    <w:p>
      <w:pPr>
        <w:numPr>
          <w:ilvl w:val="0"/>
          <w:numId w:val="36"/>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6"/>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十五、信息披露</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4.</w:t>
      </w: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产品净值披露：本产品存续期内每周按说明书约定方式披露单位净值，每个开放日结束后2个工作日内通过本理财产品说明书约定方式披露上一投资周期终止日的单位净值、份额累计净值、认</w:t>
      </w:r>
      <w:r>
        <w:rPr>
          <w:rFonts w:hint="eastAsia" w:ascii="楷体" w:hAnsi="楷体" w:eastAsia="楷体" w:cs="Calibri"/>
          <w:sz w:val="24"/>
          <w:szCs w:val="24"/>
          <w:lang w:val="en-US" w:eastAsia="zh-CN"/>
        </w:rPr>
        <w:t>/申</w:t>
      </w:r>
      <w:r>
        <w:rPr>
          <w:rFonts w:hint="eastAsia" w:ascii="楷体" w:hAnsi="楷体" w:eastAsia="楷体" w:cs="Calibri"/>
          <w:sz w:val="24"/>
          <w:szCs w:val="24"/>
        </w:rPr>
        <w:t>购价格和赎回价格。</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6.</w:t>
      </w: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7.</w:t>
      </w:r>
      <w:r>
        <w:rPr>
          <w:rFonts w:hint="eastAsia" w:ascii="楷体" w:hAnsi="楷体" w:eastAsia="楷体" w:cs="Calibri"/>
          <w:sz w:val="24"/>
          <w:szCs w:val="24"/>
        </w:rPr>
        <w:t>半年度整体报告：每半年披露从事理财业务活动的有关信息。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8.</w:t>
      </w: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份额单位</w:t>
      </w:r>
      <w:r>
        <w:rPr>
          <w:rFonts w:hint="eastAsia" w:ascii="楷体" w:hAnsi="楷体" w:eastAsia="楷体" w:cs="Calibri"/>
          <w:sz w:val="24"/>
          <w:szCs w:val="24"/>
        </w:rPr>
        <w:t>净值、份额累计净值、资产净值、收益情况、投资者理财交易账户发生的交易明细记录等信息。</w:t>
      </w:r>
    </w:p>
    <w:p>
      <w:pPr>
        <w:numPr>
          <w:ilvl w:val="0"/>
          <w:numId w:val="0"/>
        </w:numPr>
        <w:tabs>
          <w:tab w:val="left" w:pos="993"/>
        </w:tabs>
        <w:ind w:leftChars="200"/>
        <w:rPr>
          <w:rFonts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信息披露方式</w:t>
      </w:r>
    </w:p>
    <w:p>
      <w:pPr>
        <w:ind w:firstLine="480" w:firstLineChars="200"/>
        <w:rPr>
          <w:rFonts w:hint="eastAsia"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1"/>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www.suyinwealth.com</w:t>
      </w:r>
      <w:r>
        <w:rPr>
          <w:rFonts w:hint="eastAsia" w:ascii="楷体" w:hAnsi="楷体" w:eastAsia="楷体" w:cs="Calibri"/>
          <w:sz w:val="24"/>
          <w:szCs w:val="24"/>
        </w:rPr>
        <w:t>）进行信息披露。</w:t>
      </w:r>
    </w:p>
    <w:p>
      <w:pPr>
        <w:numPr>
          <w:ilvl w:val="0"/>
          <w:numId w:val="41"/>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十六、其他</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jc w:val="center"/>
        <w:rPr>
          <w:rFonts w:hint="eastAsia" w:ascii="楷体" w:hAnsi="楷体" w:eastAsia="楷体"/>
          <w:b/>
          <w:sz w:val="36"/>
          <w:szCs w:val="36"/>
        </w:rPr>
      </w:pPr>
      <w:r>
        <w:rPr>
          <w:rFonts w:hint="eastAsia" w:ascii="楷体" w:hAnsi="楷体" w:eastAsia="楷体"/>
          <w:sz w:val="24"/>
          <w:szCs w:val="24"/>
        </w:rPr>
        <w:br w:type="page"/>
      </w: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sz w:val="24"/>
          <w:szCs w:val="24"/>
        </w:rPr>
      </w:pPr>
      <w:r>
        <w:rPr>
          <w:rFonts w:hint="eastAsia" w:ascii="楷体" w:hAnsi="楷体" w:eastAsia="楷体"/>
          <w:sz w:val="24"/>
          <w:szCs w:val="24"/>
        </w:rPr>
        <w:t>经甲方（投资人）与乙方（苏银理财有限责任公司，以下简称“苏银理财”）协商一致，就甲方向乙方购买理财产品，达成协议如下：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理财产品（代理）销售协议书、理财产品说明书、风险揭示书、投资者权益须知等销售文件构成完整的不可分割的理财产品合同。乙方作为理财产品管理人建议投资者在购买对应期次理财产品（以下简称“本理财产品”）前认真阅读相关理财产品合同或咨询专业理财经理。甲方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乙方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二、甲方的权利义务</w:t>
      </w:r>
    </w:p>
    <w:p>
      <w:pPr>
        <w:ind w:firstLine="482" w:firstLineChars="200"/>
        <w:rPr>
          <w:rFonts w:hint="eastAsia" w:ascii="楷体" w:hAnsi="楷体" w:eastAsia="楷体"/>
          <w:b/>
          <w:bCs/>
          <w:sz w:val="24"/>
          <w:szCs w:val="24"/>
        </w:rPr>
      </w:pPr>
      <w:r>
        <w:rPr>
          <w:rFonts w:hint="eastAsia" w:ascii="楷体" w:hAnsi="楷体" w:eastAsia="楷体"/>
          <w:b/>
          <w:bCs/>
          <w:sz w:val="24"/>
          <w:szCs w:val="24"/>
        </w:rPr>
        <w:t>甲方声明：</w:t>
      </w:r>
    </w:p>
    <w:p>
      <w:pPr>
        <w:numPr>
          <w:ilvl w:val="0"/>
          <w:numId w:val="43"/>
        </w:numPr>
        <w:ind w:firstLine="480" w:firstLineChars="200"/>
        <w:rPr>
          <w:rFonts w:hint="eastAsia" w:ascii="楷体" w:hAnsi="楷体" w:eastAsia="楷体"/>
          <w:sz w:val="24"/>
          <w:szCs w:val="24"/>
        </w:rPr>
      </w:pPr>
      <w:r>
        <w:rPr>
          <w:rFonts w:hint="eastAsia" w:ascii="楷体" w:hAnsi="楷体" w:eastAsia="楷体"/>
          <w:sz w:val="24"/>
          <w:szCs w:val="24"/>
        </w:rPr>
        <w:t xml:space="preserve">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服务机构开展反洗钱、反恐怖融资及非居民金融账户涉税信息尽职调查等相关法律法规要求的识别客户身份工作，及时、真实、准确、完整地提供身份信息及资金来源信息。 </w:t>
      </w:r>
    </w:p>
    <w:p>
      <w:pPr>
        <w:ind w:firstLine="480" w:firstLineChars="200"/>
        <w:rPr>
          <w:rFonts w:ascii="楷体" w:hAnsi="楷体" w:eastAsia="楷体"/>
          <w:sz w:val="24"/>
          <w:szCs w:val="24"/>
        </w:rPr>
      </w:pPr>
      <w:r>
        <w:rPr>
          <w:rFonts w:hint="eastAsia" w:ascii="楷体" w:hAnsi="楷体" w:eastAsia="楷体"/>
          <w:sz w:val="24"/>
          <w:szCs w:val="24"/>
        </w:rPr>
        <w:t>2. 甲方承诺所提供的所有资料真实、完整、合法、有效，如有变更，甲方应及时到乙方或销售服务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rPr>
        <w:t>3. 甲方购买本理财产品的行为即视为对理财产品合同的承认和接受，甲方自取得依据理财产品合同发行的理财产品份额，即成为理财产品投资者和理财产品合同当事人。甲方作为当事人并不以在理财产品合同上书面签章或签字为必要条件。</w:t>
      </w:r>
    </w:p>
    <w:p>
      <w:pPr>
        <w:ind w:firstLine="482" w:firstLineChars="200"/>
        <w:rPr>
          <w:rFonts w:hint="eastAsia" w:ascii="楷体" w:hAnsi="楷体" w:eastAsia="楷体"/>
          <w:b/>
          <w:sz w:val="24"/>
          <w:szCs w:val="24"/>
        </w:rPr>
      </w:pPr>
      <w:r>
        <w:rPr>
          <w:rFonts w:hint="eastAsia" w:ascii="楷体" w:hAnsi="楷体" w:eastAsia="楷体"/>
          <w:b/>
          <w:sz w:val="24"/>
          <w:szCs w:val="24"/>
        </w:rPr>
        <w:t>（一）甲方的权利：</w:t>
      </w:r>
    </w:p>
    <w:p>
      <w:pPr>
        <w:ind w:left="480"/>
        <w:rPr>
          <w:rFonts w:hint="eastAsia" w:ascii="楷体" w:hAnsi="楷体" w:eastAsia="楷体"/>
          <w:sz w:val="24"/>
          <w:szCs w:val="24"/>
        </w:rPr>
      </w:pPr>
      <w:r>
        <w:rPr>
          <w:rFonts w:hint="eastAsia" w:ascii="楷体" w:hAnsi="楷体" w:eastAsia="楷体"/>
          <w:sz w:val="24"/>
          <w:szCs w:val="24"/>
        </w:rPr>
        <w:t>1. 按理财产品合同的约定取得理财收益（如有）；</w:t>
      </w:r>
    </w:p>
    <w:p>
      <w:pPr>
        <w:ind w:left="480"/>
        <w:rPr>
          <w:rFonts w:hint="eastAsia" w:ascii="楷体" w:hAnsi="楷体" w:eastAsia="楷体"/>
          <w:sz w:val="24"/>
          <w:szCs w:val="24"/>
        </w:rPr>
      </w:pPr>
      <w:r>
        <w:rPr>
          <w:rFonts w:hint="eastAsia" w:ascii="楷体" w:hAnsi="楷体" w:eastAsia="楷体"/>
          <w:sz w:val="24"/>
          <w:szCs w:val="24"/>
        </w:rPr>
        <w:t>2. 按理财产品合同的约定查询获得公开披露的理财产品信息资料；</w:t>
      </w:r>
    </w:p>
    <w:p>
      <w:pPr>
        <w:ind w:left="480"/>
        <w:rPr>
          <w:rFonts w:ascii="楷体" w:hAnsi="楷体" w:eastAsia="楷体"/>
          <w:sz w:val="24"/>
          <w:szCs w:val="24"/>
        </w:rPr>
      </w:pPr>
      <w:r>
        <w:rPr>
          <w:rFonts w:hint="eastAsia" w:ascii="楷体" w:hAnsi="楷体" w:eastAsia="楷体"/>
          <w:sz w:val="24"/>
          <w:szCs w:val="24"/>
        </w:rPr>
        <w:t>3. 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rPr>
          <w:rFonts w:hint="eastAsia" w:ascii="楷体" w:hAnsi="楷体" w:eastAsia="楷体"/>
          <w:sz w:val="24"/>
          <w:szCs w:val="24"/>
        </w:rPr>
      </w:pPr>
      <w:r>
        <w:rPr>
          <w:rFonts w:hint="eastAsia" w:ascii="楷体" w:hAnsi="楷体" w:eastAsia="楷体"/>
          <w:sz w:val="24"/>
          <w:szCs w:val="24"/>
        </w:rPr>
        <w:t xml:space="preserve">    4. 要求乙方或理财产品托管人及时履行法律法规、理财产品合同所规定的义务；</w:t>
      </w:r>
    </w:p>
    <w:p>
      <w:pPr>
        <w:numPr>
          <w:ilvl w:val="0"/>
          <w:numId w:val="44"/>
        </w:numPr>
        <w:tabs>
          <w:tab w:val="left" w:pos="743"/>
        </w:tabs>
        <w:ind w:left="480"/>
        <w:rPr>
          <w:rFonts w:hint="eastAsia" w:ascii="楷体" w:hAnsi="楷体" w:eastAsia="楷体"/>
          <w:sz w:val="24"/>
          <w:szCs w:val="24"/>
        </w:rPr>
      </w:pPr>
      <w:r>
        <w:rPr>
          <w:rFonts w:hint="eastAsia" w:ascii="楷体" w:hAnsi="楷体" w:eastAsia="楷体"/>
          <w:sz w:val="24"/>
          <w:szCs w:val="24"/>
        </w:rPr>
        <w:t>对乙方、理财产品托管人损害其合法权益的行为而要求予以赔偿；</w:t>
      </w:r>
    </w:p>
    <w:p>
      <w:pPr>
        <w:numPr>
          <w:ilvl w:val="0"/>
          <w:numId w:val="44"/>
        </w:numPr>
        <w:ind w:left="48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（二）甲方的义务：</w:t>
      </w:r>
    </w:p>
    <w:p>
      <w:pPr>
        <w:ind w:left="426"/>
        <w:rPr>
          <w:rFonts w:hint="eastAsia" w:ascii="楷体" w:hAnsi="楷体" w:eastAsia="楷体"/>
          <w:sz w:val="24"/>
          <w:szCs w:val="24"/>
        </w:rPr>
      </w:pPr>
      <w:r>
        <w:rPr>
          <w:rFonts w:hint="eastAsia" w:ascii="楷体" w:hAnsi="楷体" w:eastAsia="楷体"/>
          <w:sz w:val="24"/>
          <w:szCs w:val="24"/>
        </w:rPr>
        <w:t>1. 遵守有关法律法规和理财产品合同的约定；</w:t>
      </w:r>
    </w:p>
    <w:p>
      <w:pPr>
        <w:ind w:firstLine="425"/>
        <w:rPr>
          <w:rFonts w:hint="eastAsia" w:ascii="楷体" w:hAnsi="楷体" w:eastAsia="楷体"/>
          <w:sz w:val="24"/>
          <w:szCs w:val="24"/>
        </w:rPr>
      </w:pPr>
      <w:r>
        <w:rPr>
          <w:rFonts w:hint="eastAsia" w:ascii="楷体" w:hAnsi="楷体" w:eastAsia="楷体"/>
          <w:sz w:val="24"/>
          <w:szCs w:val="24"/>
        </w:rPr>
        <w:t>2. 缴纳理财产品认购、申购和赎回等事宜涉及的款项及理财产品合同规定的费用；</w:t>
      </w:r>
    </w:p>
    <w:p>
      <w:pPr>
        <w:ind w:firstLine="425"/>
        <w:rPr>
          <w:rFonts w:hint="eastAsia" w:ascii="楷体" w:hAnsi="楷体" w:eastAsia="楷体" w:cs="楷体"/>
          <w:sz w:val="24"/>
          <w:szCs w:val="24"/>
        </w:rPr>
      </w:pPr>
      <w:r>
        <w:rPr>
          <w:rFonts w:hint="eastAsia" w:ascii="楷体" w:hAnsi="楷体" w:eastAsia="楷体" w:cs="楷体"/>
          <w:sz w:val="24"/>
          <w:szCs w:val="24"/>
        </w:rPr>
        <w:t>3. 以其对理财产品的投资额为限承担本理财产品亏损或者终止的有限责任；</w:t>
      </w:r>
    </w:p>
    <w:p>
      <w:pPr>
        <w:numPr>
          <w:ilvl w:val="0"/>
          <w:numId w:val="45"/>
        </w:numPr>
        <w:ind w:left="426"/>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5"/>
        </w:numPr>
        <w:ind w:left="426"/>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5"/>
        </w:numPr>
        <w:ind w:left="426"/>
        <w:rPr>
          <w:rFonts w:hint="eastAsia" w:ascii="楷体" w:hAnsi="楷体" w:eastAsia="楷体"/>
          <w:sz w:val="24"/>
          <w:szCs w:val="24"/>
        </w:rPr>
      </w:pPr>
      <w:r>
        <w:rPr>
          <w:rFonts w:hint="eastAsia" w:ascii="楷体" w:hAnsi="楷体" w:eastAsia="楷体"/>
          <w:sz w:val="24"/>
          <w:szCs w:val="24"/>
        </w:rPr>
        <w:t>法律法规以及理财产品合同所规定的其它义务。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三、乙方的权利义务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（一）乙方的权利：</w:t>
      </w:r>
    </w:p>
    <w:p>
      <w:pPr>
        <w:ind w:firstLine="425"/>
        <w:rPr>
          <w:rFonts w:hint="eastAsia" w:ascii="楷体" w:hAnsi="楷体" w:eastAsia="楷体"/>
          <w:sz w:val="24"/>
          <w:szCs w:val="24"/>
        </w:rPr>
      </w:pPr>
      <w:r>
        <w:rPr>
          <w:rFonts w:hint="eastAsia" w:ascii="楷体" w:hAnsi="楷体" w:eastAsia="楷体"/>
          <w:sz w:val="24"/>
          <w:szCs w:val="24"/>
        </w:rPr>
        <w:t>1. 乙方按照法律法规和《理财产品说明书》及《风险揭示书》的约定，诚实信用、谨慎勤勉地实施投资管理行为，以专业技能管理理财产品资产，依法维护理财产品全体投资者的利益；</w:t>
      </w:r>
    </w:p>
    <w:p>
      <w:pPr>
        <w:numPr>
          <w:ilvl w:val="0"/>
          <w:numId w:val="46"/>
        </w:numPr>
        <w:ind w:left="426"/>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6"/>
        </w:numPr>
        <w:ind w:left="426"/>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6"/>
        </w:numPr>
        <w:ind w:left="426"/>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6"/>
        </w:numPr>
        <w:ind w:left="426"/>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6"/>
        </w:numPr>
        <w:ind w:left="426"/>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ind w:firstLine="425"/>
        <w:rPr>
          <w:rFonts w:hint="eastAsia" w:ascii="楷体" w:hAnsi="楷体" w:eastAsia="楷体"/>
          <w:sz w:val="24"/>
          <w:szCs w:val="24"/>
        </w:rPr>
      </w:pPr>
      <w:r>
        <w:rPr>
          <w:rFonts w:hint="eastAsia" w:ascii="楷体" w:hAnsi="楷体" w:eastAsia="楷体"/>
          <w:sz w:val="24"/>
          <w:szCs w:val="24"/>
        </w:rPr>
        <w:t>7. 以乙方名义，代表理财份额持有人利益行使诉讼权利或者实施其他法律行为；</w:t>
      </w:r>
    </w:p>
    <w:p>
      <w:pPr>
        <w:numPr>
          <w:ilvl w:val="0"/>
          <w:numId w:val="47"/>
        </w:numPr>
        <w:ind w:left="426"/>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7"/>
        </w:numPr>
        <w:ind w:left="426"/>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（二）乙方的义务：</w:t>
      </w:r>
    </w:p>
    <w:p>
      <w:pPr>
        <w:ind w:firstLine="425"/>
        <w:rPr>
          <w:rFonts w:hint="eastAsia" w:ascii="楷体" w:hAnsi="楷体" w:eastAsia="楷体"/>
          <w:sz w:val="24"/>
          <w:szCs w:val="24"/>
        </w:rPr>
      </w:pPr>
      <w:r>
        <w:rPr>
          <w:rFonts w:hint="eastAsia" w:ascii="楷体" w:hAnsi="楷体" w:eastAsia="楷体"/>
          <w:sz w:val="24"/>
          <w:szCs w:val="24"/>
        </w:rPr>
        <w:t>1. 遵守法律法规和理财产品合同的约定；</w:t>
      </w:r>
    </w:p>
    <w:p>
      <w:pPr>
        <w:ind w:firstLine="425"/>
        <w:rPr>
          <w:rFonts w:hint="eastAsia" w:ascii="楷体" w:hAnsi="楷体" w:eastAsia="楷体"/>
          <w:sz w:val="24"/>
          <w:szCs w:val="24"/>
        </w:rPr>
      </w:pPr>
      <w:r>
        <w:rPr>
          <w:rFonts w:hint="eastAsia" w:ascii="楷体" w:hAnsi="楷体" w:eastAsia="楷体"/>
          <w:sz w:val="24"/>
          <w:szCs w:val="24"/>
        </w:rPr>
        <w:t>2. 恪尽职守，依照诚实信用、勤勉尽责的原则，谨慎、有效管理和运用理财资产；</w:t>
      </w:r>
    </w:p>
    <w:p>
      <w:pPr>
        <w:numPr>
          <w:ilvl w:val="0"/>
          <w:numId w:val="48"/>
        </w:numPr>
        <w:ind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48"/>
        </w:numPr>
        <w:ind w:firstLine="425"/>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rPr>
          <w:rFonts w:hint="eastAsia" w:ascii="楷体" w:hAnsi="楷体" w:eastAsia="楷体"/>
          <w:sz w:val="24"/>
          <w:szCs w:val="24"/>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p>
    <w:p>
      <w:pPr>
        <w:numPr>
          <w:ilvl w:val="0"/>
          <w:numId w:val="48"/>
        </w:numPr>
        <w:ind w:firstLine="425"/>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rPr>
          <w:rFonts w:hint="eastAsia" w:ascii="楷体" w:hAnsi="楷体" w:eastAsia="楷体"/>
          <w:sz w:val="24"/>
          <w:szCs w:val="24"/>
        </w:rPr>
      </w:pPr>
      <w:r>
        <w:rPr>
          <w:rFonts w:hint="eastAsia" w:ascii="楷体" w:hAnsi="楷体" w:eastAsia="楷体"/>
          <w:sz w:val="24"/>
          <w:szCs w:val="24"/>
        </w:rPr>
        <w:t>财产品（代理）销售协议书等的约定收取销售费用，并如实核算、记账；未经载明，不得对不同投资者适用不同费率；</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建立健全内部控制制度，保证乙方的固有财产和理财财产相互独立，对所管理的不同理财财产分别管理、分别记账，进行投资；</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除依据法律法规和理财产品合同的约定外，不得利用理财资产为乙方自身及任何第三方谋取利益；</w:t>
      </w:r>
    </w:p>
    <w:p>
      <w:pPr>
        <w:numPr>
          <w:ilvl w:val="0"/>
          <w:numId w:val="48"/>
        </w:numPr>
        <w:tabs>
          <w:tab w:val="right" w:pos="7881"/>
        </w:tabs>
        <w:ind w:firstLine="425"/>
        <w:rPr>
          <w:rFonts w:hint="eastAsia" w:ascii="楷体" w:hAnsi="楷体" w:eastAsia="楷体"/>
          <w:sz w:val="24"/>
          <w:szCs w:val="24"/>
        </w:rPr>
      </w:pPr>
      <w:r>
        <w:rPr>
          <w:rFonts w:hint="eastAsia" w:ascii="楷体" w:hAnsi="楷体" w:eastAsia="楷体"/>
          <w:sz w:val="24"/>
          <w:szCs w:val="24"/>
        </w:rPr>
        <w:t>除依据法律法规和理财产品合同的约定外，乙方不得委托第三人管</w:t>
      </w:r>
      <w:r>
        <w:rPr>
          <w:rFonts w:hint="eastAsia" w:ascii="楷体" w:hAnsi="楷体" w:eastAsia="楷体"/>
          <w:sz w:val="24"/>
          <w:szCs w:val="24"/>
        </w:rPr>
        <w:tab/>
      </w:r>
      <w:r>
        <w:rPr>
          <w:rFonts w:hint="eastAsia" w:ascii="楷体" w:hAnsi="楷体" w:eastAsia="楷体"/>
          <w:sz w:val="24"/>
          <w:szCs w:val="24"/>
        </w:rPr>
        <w:t>理、运作理财资产；</w:t>
      </w:r>
    </w:p>
    <w:p>
      <w:pPr>
        <w:numPr>
          <w:ilvl w:val="0"/>
          <w:numId w:val="48"/>
        </w:numPr>
        <w:ind w:firstLine="425"/>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48"/>
        </w:numPr>
        <w:adjustRightInd w:val="0"/>
        <w:snapToGrid w:val="0"/>
        <w:ind w:firstLine="425"/>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48"/>
        </w:numPr>
        <w:tabs>
          <w:tab w:val="left" w:pos="993"/>
        </w:tabs>
        <w:ind w:firstLine="425"/>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rPr>
          <w:rFonts w:hint="eastAsia" w:ascii="楷体" w:hAnsi="楷体" w:eastAsia="楷体" w:cs="楷体"/>
          <w:sz w:val="24"/>
          <w:szCs w:val="24"/>
        </w:rPr>
      </w:pPr>
      <w:r>
        <w:rPr>
          <w:rFonts w:hint="eastAsia" w:ascii="楷体" w:hAnsi="楷体" w:eastAsia="楷体"/>
          <w:sz w:val="24"/>
          <w:szCs w:val="24"/>
        </w:rPr>
        <w:t>法机关等有权机构及本协议另有约定外，不得对其他第三方提供任何投资者信息；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rPr>
          <w:rFonts w:hint="eastAsia" w:ascii="楷体" w:hAnsi="楷体" w:eastAsia="楷体" w:cs="楷体"/>
          <w:sz w:val="24"/>
          <w:szCs w:val="24"/>
        </w:rPr>
      </w:pPr>
      <w:r>
        <w:rPr>
          <w:rFonts w:hint="eastAsia" w:ascii="楷体" w:hAnsi="楷体" w:eastAsia="楷体" w:cs="楷体"/>
          <w:sz w:val="24"/>
          <w:szCs w:val="24"/>
        </w:rPr>
        <w:t xml:space="preserve">    无论本协议终止还是发生各种突发情况，本协议项下乙方和有关第三方的保密义务并不因此终止或中断；</w:t>
      </w:r>
    </w:p>
    <w:p>
      <w:pPr>
        <w:numPr>
          <w:ilvl w:val="0"/>
          <w:numId w:val="48"/>
        </w:numPr>
        <w:tabs>
          <w:tab w:val="left" w:pos="993"/>
        </w:tabs>
        <w:ind w:firstLine="425"/>
        <w:rPr>
          <w:rFonts w:ascii="楷体" w:hAnsi="楷体" w:eastAsia="楷体"/>
          <w:sz w:val="24"/>
          <w:szCs w:val="24"/>
        </w:rPr>
      </w:pPr>
      <w:r>
        <w:rPr>
          <w:rFonts w:hint="eastAsia" w:ascii="楷体" w:hAnsi="楷体" w:eastAsia="楷体"/>
          <w:sz w:val="24"/>
          <w:szCs w:val="24"/>
        </w:rPr>
        <w:t>依据理财产品合同约定制订理财收益分配方案并向本理财产品的理财</w:t>
      </w:r>
    </w:p>
    <w:p>
      <w:pPr>
        <w:tabs>
          <w:tab w:val="left" w:pos="993"/>
        </w:tabs>
        <w:rPr>
          <w:rFonts w:hint="eastAsia" w:ascii="楷体" w:hAnsi="楷体" w:eastAsia="楷体"/>
          <w:sz w:val="24"/>
          <w:szCs w:val="24"/>
        </w:rPr>
      </w:pPr>
      <w:r>
        <w:rPr>
          <w:rFonts w:hint="eastAsia" w:ascii="楷体" w:hAnsi="楷体" w:eastAsia="楷体"/>
          <w:sz w:val="24"/>
          <w:szCs w:val="24"/>
        </w:rPr>
        <w:t>份额持有人分配理财收益（如有）；</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监督理财产品托管人按法律法规和理财产品合同约定履行自己的义务。理财产品托管人因过错造成理财资产损失时，乙方应为理财利益向理财产品托管人追索，除法律法规另有规定外，不承担连带责任；</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不从事任何有损本理财产品其他当事人合法权益的活动。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rPr>
        <w:t>1. 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rPr>
        <w:t>2. 甲方已清楚知悉并同意本协议项下理财产品的投资管理由乙方负责实施。</w:t>
      </w:r>
    </w:p>
    <w:p>
      <w:pPr>
        <w:ind w:firstLine="480" w:firstLineChars="200"/>
        <w:rPr>
          <w:rFonts w:ascii="楷体" w:hAnsi="楷体" w:eastAsia="楷体"/>
          <w:sz w:val="24"/>
          <w:szCs w:val="24"/>
        </w:rPr>
      </w:pPr>
      <w:r>
        <w:rPr>
          <w:rFonts w:hint="eastAsia" w:ascii="楷体" w:hAnsi="楷体" w:eastAsia="楷体"/>
          <w:sz w:val="24"/>
          <w:szCs w:val="24"/>
        </w:rPr>
        <w:t>3. 乙方按照法律法规和产品说明书的约定诚实信用、谨慎勤勉地实施投资管理行为，以专业技能管理理财产品资产，依法维护理财产品全体投资者的利益。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rPr>
        <w:t>4. 乙方不对任何理财产品的本金或收益做出任何承诺或保证。</w:t>
      </w:r>
    </w:p>
    <w:p>
      <w:pPr>
        <w:ind w:firstLine="480" w:firstLineChars="200"/>
        <w:rPr>
          <w:rFonts w:ascii="楷体" w:hAnsi="楷体" w:eastAsia="楷体"/>
          <w:sz w:val="24"/>
          <w:szCs w:val="24"/>
        </w:rPr>
      </w:pPr>
      <w:r>
        <w:rPr>
          <w:rFonts w:hint="eastAsia" w:ascii="楷体" w:hAnsi="楷体" w:eastAsia="楷体"/>
          <w:sz w:val="24"/>
          <w:szCs w:val="24"/>
        </w:rPr>
        <w:t>5. 乙方依照产品说明书载明的投资范围、投资资产种类、投资比例进行投资，在投资管理过程中,遇市场变化或政策调整导致产品投资范围、投资资产种类、投资比例等暂时超出产品说明书的约定且乙方认为可能对投资者收益产生重大影响时，乙方将及时通过产品说明书约定的披露方式和途径进行披露。</w:t>
      </w:r>
    </w:p>
    <w:p>
      <w:pPr>
        <w:ind w:firstLine="482" w:firstLineChars="200"/>
        <w:rPr>
          <w:rFonts w:ascii="楷体" w:hAnsi="楷体" w:eastAsia="楷体"/>
          <w:sz w:val="24"/>
          <w:szCs w:val="24"/>
        </w:rPr>
      </w:pPr>
      <w:r>
        <w:rPr>
          <w:rFonts w:hint="eastAsia" w:ascii="楷体" w:hAnsi="楷体" w:eastAsia="楷体"/>
          <w:b/>
          <w:bCs/>
          <w:sz w:val="24"/>
          <w:szCs w:val="24"/>
        </w:rPr>
        <w:t>6. 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rPr>
        <w:t>7. 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全体投资者承担，乙方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rPr>
        <w:t>8. 乙方有权代表投资者参加会议，对相关事项进行表决；乙方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rPr>
        <w:t>9. 甲方同意乙方在产品说明书约定的投资计划（包括但不限于投资范围、投资资产种类、投资比例等内容）内，依据自身的投资决策流程和风险管理机制做出和实施相关投资管理决定。</w:t>
      </w:r>
    </w:p>
    <w:p>
      <w:pPr>
        <w:ind w:firstLine="425"/>
        <w:rPr>
          <w:rFonts w:hint="eastAsia" w:ascii="楷体" w:hAnsi="楷体" w:eastAsia="楷体"/>
          <w:sz w:val="24"/>
          <w:szCs w:val="24"/>
        </w:rPr>
      </w:pPr>
      <w:r>
        <w:rPr>
          <w:rFonts w:hint="eastAsia" w:ascii="楷体" w:hAnsi="楷体" w:eastAsia="楷体"/>
          <w:sz w:val="24"/>
          <w:szCs w:val="24"/>
        </w:rPr>
        <w:t>10. 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rPr>
        <w:t>1. 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rPr>
        <w:t>2. 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或乙方发现或有合理理由怀疑甲方或其资金存在洗钱、恐怖融资、逃税等嫌疑，乙方有权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rPr>
        <w:t>1. 由于地震、火灾、战争等不可抗力导致的交易中断、延误等风险及损失，乙方不承担责任，但应在条件允许的情况下通知甲方，并采取一切必要的补救措施以减小不可抗力造成的损失。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rPr>
        <w:t>2. 由于国家的有关法律、法规、规章、政策的改变、紧急措施的出台而导致的风险，乙方不承担责任。</w:t>
      </w:r>
    </w:p>
    <w:p>
      <w:pPr>
        <w:ind w:firstLine="420"/>
        <w:rPr>
          <w:rFonts w:ascii="楷体" w:hAnsi="楷体" w:eastAsia="楷体"/>
          <w:sz w:val="24"/>
          <w:szCs w:val="24"/>
        </w:rPr>
      </w:pPr>
      <w:r>
        <w:rPr>
          <w:rFonts w:hint="eastAsia" w:ascii="楷体" w:hAnsi="楷体" w:eastAsia="楷体"/>
          <w:sz w:val="24"/>
          <w:szCs w:val="24"/>
        </w:rPr>
        <w:t>3. 乙方依照恪尽职守、诚实信用、谨慎勤勉的原则管理和运用理财产品财产，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乙方依据产品合同约定管理和运用理财产品财产所产生的风险，由理财产品财产及甲方承担。甲方应充分知晓投资运营的相关风险，具体风险详见风险揭示书及理财产品说明书的具体约定，其风险应由甲方自担。</w:t>
      </w:r>
    </w:p>
    <w:p>
      <w:pPr>
        <w:ind w:firstLine="420"/>
        <w:rPr>
          <w:rFonts w:ascii="楷体" w:hAnsi="楷体" w:eastAsia="楷体"/>
          <w:sz w:val="24"/>
          <w:szCs w:val="24"/>
        </w:rPr>
      </w:pPr>
      <w:r>
        <w:rPr>
          <w:rFonts w:hint="eastAsia" w:ascii="楷体" w:hAnsi="楷体" w:eastAsia="楷体"/>
          <w:sz w:val="24"/>
          <w:szCs w:val="24"/>
        </w:rPr>
        <w:t>4. 非因乙方原因（包括但不限于甲方遗失本协议、理财产品合同被盗用、甲方资金账户被司法机关等有权部门冻结、扣划及其他投资者自身原因、投资标的固有风险等原因）造成的损失，乙方不承担责任。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rPr>
        <w:t>1. 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rPr>
        <w:t>2. 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rPr>
        <w:t>1. 甲方直接通过乙方购买本理财产品，本协议经甲方个人客户签字/机构客户法定代表人签字并加盖公章且乙方加盖公章或业务专用章后生效。甲方通过销售服务机构的网点柜面渠道购买本理财产品，本协议经甲方个人客户签字/机构客户法定代表人签字并加盖公章且成功缴纳购买资金并经乙方系统确认购买份额后生效。甲方通过乙方或销售服务机构电子渠道进行理财交易的，甲方在相应电子页面点击“确定”或“接受”或“已阅读并同意”或“同意”或“提交”或其他同等含义词语，即视为其已签署，表示其同意接受本协议、对应《理财产品说明书》《风险揭示书》和《投资者权益须知》等相关销售文件的全部约定内容，认可其法律约束力。协议各方当事人认可电子渠道所产生电子数据的有效性。本协议生效并不代表甲方认（申）购成功，是否认（申）购成功以及认（申）购的具体金额以乙方最终确认为准。</w:t>
      </w:r>
    </w:p>
    <w:p>
      <w:pPr>
        <w:ind w:firstLine="420"/>
        <w:rPr>
          <w:rStyle w:val="20"/>
        </w:rPr>
      </w:pPr>
      <w:r>
        <w:rPr>
          <w:rFonts w:hint="eastAsia" w:ascii="楷体" w:hAnsi="楷体" w:eastAsia="楷体"/>
          <w:sz w:val="24"/>
          <w:szCs w:val="24"/>
        </w:rPr>
        <w:t>2. 甲方在办理理财产品的购买、赎回等交易后，需通过销售机构营业网点或网上销售平台查询相关交易的确认情况，最终以乙方确认的产品购买金额或赎回份额作为理财产品合同的生效或终止依据。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sz w:val="24"/>
          <w:szCs w:val="24"/>
        </w:rPr>
        <w:t>3. 除按《理财</w:t>
      </w:r>
      <w:r>
        <w:rPr>
          <w:rFonts w:hint="eastAsia" w:ascii="楷体" w:hAnsi="楷体" w:eastAsia="楷体" w:cs="浠垮畫"/>
          <w:kern w:val="0"/>
          <w:sz w:val="24"/>
          <w:szCs w:val="24"/>
        </w:rPr>
        <w:t>产品说明书》约定乙方有权提前终止情形外，甲方有违约行为或交易资金被国家有权机关采取保全措施时，乙方有权提前终止本协议。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rPr>
        <w:t>4. 乙方或代销机构发现或有合理理由怀疑甲方或其资金存在洗钱、恐怖融资、逃税等嫌疑，乙方有权提前终止本协议，造成甲方损失的，乙方不承担责任。</w:t>
      </w:r>
    </w:p>
    <w:p>
      <w:pPr>
        <w:ind w:firstLine="420"/>
        <w:rPr>
          <w:rFonts w:hint="eastAsia" w:ascii="楷体" w:hAnsi="楷体" w:eastAsia="楷体"/>
          <w:sz w:val="24"/>
          <w:szCs w:val="24"/>
        </w:rPr>
      </w:pPr>
      <w:r>
        <w:rPr>
          <w:rFonts w:hint="eastAsia" w:ascii="楷体" w:hAnsi="楷体" w:eastAsia="楷体"/>
          <w:sz w:val="24"/>
          <w:szCs w:val="24"/>
        </w:rPr>
        <w:t>5. 本协议及《理财产品说明书》、《理财产品（代理）销售协议书》项下各方权利义务履行完毕之日，本协议自动终止。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因本合同引起的或与本合同有关的任何争议，应当首先通过双方之间的友好协商解决；协商不成的，双方均有权提交乙方所在地有管辖权的人民法院诉讼解决。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十、本投资协议书未尽事宜，以理财产品说明书、风险揭示书、理财产品（代理）销售协议书、投资者权益须知的约定内容为准。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pPr>
      <w:r>
        <w:rPr>
          <w:rStyle w:val="21"/>
        </w:rPr>
        <w:footnoteRef/>
      </w:r>
      <w:r>
        <w:t xml:space="preserve"> </w:t>
      </w:r>
      <w:r>
        <w:rPr>
          <w:rFonts w:hint="eastAsia" w:ascii="楷体" w:hAnsi="楷体" w:eastAsia="楷体" w:cs="楷体"/>
        </w:rPr>
        <w:t>投资者权益须知的名称和内容以销售机构实际使用为准。</w:t>
      </w:r>
    </w:p>
  </w:footnote>
  <w:footnote w:id="1">
    <w:p>
      <w:pPr>
        <w:pStyle w:val="11"/>
        <w:rPr>
          <w:rFonts w:hint="eastAsia"/>
        </w:rPr>
      </w:pPr>
      <w:r>
        <w:rPr>
          <w:rStyle w:val="21"/>
        </w:rPr>
        <w:footnoteRef/>
      </w:r>
      <w:r>
        <w:t xml:space="preserve"> </w:t>
      </w:r>
      <w:r>
        <w:rPr>
          <w:rFonts w:hint="eastAsia" w:ascii="楷体" w:hAnsi="楷体" w:eastAsia="楷体" w:cs="楷体"/>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bidi w:val="0"/>
      <w:rPr>
        <w:rFonts w:hint="eastAsia" w:ascii="楷体" w:hAnsi="楷体" w:eastAsia="楷体" w:cs="楷体"/>
        <w:b/>
        <w:bCs/>
      </w:rPr>
    </w:pPr>
    <w:r>
      <w:rPr>
        <w:rFonts w:hint="eastAsia" w:ascii="楷体" w:hAnsi="楷体" w:eastAsia="楷体" w:cs="楷体"/>
        <w:b/>
        <w:bCs/>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7" name="WordPictureWatermark36714475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36714475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楷体"/>
        <w:b/>
        <w:bCs/>
      </w:rP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9"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楷体"/>
        <w:b/>
        <w:bCs/>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6" name="WordPictureWatermark367144750"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67144750"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5" name="WordPictureWatermark367144749"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367144749"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8"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EE75D0C4"/>
    <w:multiLevelType w:val="singleLevel"/>
    <w:tmpl w:val="EE75D0C4"/>
    <w:lvl w:ilvl="0" w:tentative="0">
      <w:start w:val="1"/>
      <w:numFmt w:val="decimal"/>
      <w:suff w:val="nothing"/>
      <w:lvlText w:val="（%1）"/>
      <w:lvlJc w:val="left"/>
    </w:lvl>
  </w:abstractNum>
  <w:abstractNum w:abstractNumId="4">
    <w:nsid w:val="F1892878"/>
    <w:multiLevelType w:val="multilevel"/>
    <w:tmpl w:val="F1892878"/>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5">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6">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8278C74"/>
    <w:multiLevelType w:val="singleLevel"/>
    <w:tmpl w:val="18278C74"/>
    <w:lvl w:ilvl="0" w:tentative="0">
      <w:start w:val="2"/>
      <w:numFmt w:val="decimal"/>
      <w:suff w:val="space"/>
      <w:lvlText w:val="%1."/>
      <w:lvlJc w:val="left"/>
    </w:lvl>
  </w:abstractNum>
  <w:abstractNum w:abstractNumId="12">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84362CC"/>
    <w:multiLevelType w:val="multilevel"/>
    <w:tmpl w:val="284362CC"/>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6">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8">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D3D19BD"/>
    <w:multiLevelType w:val="singleLevel"/>
    <w:tmpl w:val="2D3D19BD"/>
    <w:lvl w:ilvl="0" w:tentative="0">
      <w:start w:val="4"/>
      <w:numFmt w:val="decimal"/>
      <w:suff w:val="space"/>
      <w:lvlText w:val="%1."/>
      <w:lvlJc w:val="left"/>
    </w:lvl>
  </w:abstractNum>
  <w:abstractNum w:abstractNumId="20">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8">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67AF553"/>
    <w:multiLevelType w:val="singleLevel"/>
    <w:tmpl w:val="767AF553"/>
    <w:lvl w:ilvl="0" w:tentative="0">
      <w:start w:val="8"/>
      <w:numFmt w:val="decimal"/>
      <w:suff w:val="space"/>
      <w:lvlText w:val="%1."/>
      <w:lvlJc w:val="left"/>
    </w:lvl>
  </w:abstractNum>
  <w:abstractNum w:abstractNumId="44">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5">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4"/>
  </w:num>
  <w:num w:numId="2">
    <w:abstractNumId w:val="14"/>
  </w:num>
  <w:num w:numId="3">
    <w:abstractNumId w:val="4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7"/>
  </w:num>
  <w:num w:numId="8">
    <w:abstractNumId w:val="23"/>
  </w:num>
  <w:num w:numId="9">
    <w:abstractNumId w:val="4"/>
  </w:num>
  <w:num w:numId="10">
    <w:abstractNumId w:val="15"/>
  </w:num>
  <w:num w:numId="11">
    <w:abstractNumId w:val="13"/>
  </w:num>
  <w:num w:numId="12">
    <w:abstractNumId w:val="27"/>
  </w:num>
  <w:num w:numId="13">
    <w:abstractNumId w:val="26"/>
  </w:num>
  <w:num w:numId="14">
    <w:abstractNumId w:val="12"/>
  </w:num>
  <w:num w:numId="15">
    <w:abstractNumId w:val="22"/>
  </w:num>
  <w:num w:numId="16">
    <w:abstractNumId w:val="34"/>
  </w:num>
  <w:num w:numId="17">
    <w:abstractNumId w:val="32"/>
  </w:num>
  <w:num w:numId="18">
    <w:abstractNumId w:val="37"/>
  </w:num>
  <w:num w:numId="19">
    <w:abstractNumId w:val="16"/>
  </w:num>
  <w:num w:numId="20">
    <w:abstractNumId w:val="25"/>
  </w:num>
  <w:num w:numId="21">
    <w:abstractNumId w:val="3"/>
  </w:num>
  <w:num w:numId="22">
    <w:abstractNumId w:val="42"/>
  </w:num>
  <w:num w:numId="23">
    <w:abstractNumId w:val="29"/>
  </w:num>
  <w:num w:numId="24">
    <w:abstractNumId w:val="30"/>
  </w:num>
  <w:num w:numId="25">
    <w:abstractNumId w:val="9"/>
  </w:num>
  <w:num w:numId="26">
    <w:abstractNumId w:val="8"/>
  </w:num>
  <w:num w:numId="27">
    <w:abstractNumId w:val="18"/>
  </w:num>
  <w:num w:numId="28">
    <w:abstractNumId w:val="10"/>
  </w:num>
  <w:num w:numId="29">
    <w:abstractNumId w:val="20"/>
  </w:num>
  <w:num w:numId="30">
    <w:abstractNumId w:val="36"/>
  </w:num>
  <w:num w:numId="31">
    <w:abstractNumId w:val="7"/>
  </w:num>
  <w:num w:numId="32">
    <w:abstractNumId w:val="38"/>
  </w:num>
  <w:num w:numId="33">
    <w:abstractNumId w:val="31"/>
  </w:num>
  <w:num w:numId="34">
    <w:abstractNumId w:val="39"/>
  </w:num>
  <w:num w:numId="35">
    <w:abstractNumId w:val="46"/>
  </w:num>
  <w:num w:numId="36">
    <w:abstractNumId w:val="35"/>
  </w:num>
  <w:num w:numId="37">
    <w:abstractNumId w:val="21"/>
  </w:num>
  <w:num w:numId="38">
    <w:abstractNumId w:val="45"/>
  </w:num>
  <w:num w:numId="39">
    <w:abstractNumId w:val="28"/>
  </w:num>
  <w:num w:numId="40">
    <w:abstractNumId w:val="40"/>
  </w:num>
  <w:num w:numId="41">
    <w:abstractNumId w:val="6"/>
  </w:num>
  <w:num w:numId="42">
    <w:abstractNumId w:val="33"/>
  </w:num>
  <w:num w:numId="43">
    <w:abstractNumId w:val="1"/>
  </w:num>
  <w:num w:numId="44">
    <w:abstractNumId w:val="2"/>
  </w:num>
  <w:num w:numId="45">
    <w:abstractNumId w:val="19"/>
  </w:num>
  <w:num w:numId="46">
    <w:abstractNumId w:val="11"/>
  </w:num>
  <w:num w:numId="47">
    <w:abstractNumId w:val="43"/>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91"/>
    <w:rsid w:val="00000B2F"/>
    <w:rsid w:val="00001E2F"/>
    <w:rsid w:val="00002389"/>
    <w:rsid w:val="000025C6"/>
    <w:rsid w:val="00002BDE"/>
    <w:rsid w:val="00003606"/>
    <w:rsid w:val="000047F8"/>
    <w:rsid w:val="000048B0"/>
    <w:rsid w:val="00005B01"/>
    <w:rsid w:val="000063CF"/>
    <w:rsid w:val="00006A59"/>
    <w:rsid w:val="000101E4"/>
    <w:rsid w:val="0001103A"/>
    <w:rsid w:val="000131EF"/>
    <w:rsid w:val="00013628"/>
    <w:rsid w:val="00013844"/>
    <w:rsid w:val="000139C7"/>
    <w:rsid w:val="00014334"/>
    <w:rsid w:val="00014672"/>
    <w:rsid w:val="00015A92"/>
    <w:rsid w:val="00015D58"/>
    <w:rsid w:val="00016232"/>
    <w:rsid w:val="00017AB0"/>
    <w:rsid w:val="0002052D"/>
    <w:rsid w:val="000206F2"/>
    <w:rsid w:val="00020A6F"/>
    <w:rsid w:val="00021007"/>
    <w:rsid w:val="00023BA8"/>
    <w:rsid w:val="000247F9"/>
    <w:rsid w:val="00027E61"/>
    <w:rsid w:val="00027F48"/>
    <w:rsid w:val="0003072E"/>
    <w:rsid w:val="00030D69"/>
    <w:rsid w:val="00031806"/>
    <w:rsid w:val="00031F80"/>
    <w:rsid w:val="0003323A"/>
    <w:rsid w:val="00034890"/>
    <w:rsid w:val="00035097"/>
    <w:rsid w:val="00036482"/>
    <w:rsid w:val="000405B1"/>
    <w:rsid w:val="00042B55"/>
    <w:rsid w:val="00043D2C"/>
    <w:rsid w:val="00043D5F"/>
    <w:rsid w:val="000461C3"/>
    <w:rsid w:val="000463B3"/>
    <w:rsid w:val="000469D0"/>
    <w:rsid w:val="00050975"/>
    <w:rsid w:val="00051317"/>
    <w:rsid w:val="00051479"/>
    <w:rsid w:val="0005439B"/>
    <w:rsid w:val="00054854"/>
    <w:rsid w:val="000554B0"/>
    <w:rsid w:val="00060306"/>
    <w:rsid w:val="00060571"/>
    <w:rsid w:val="00060984"/>
    <w:rsid w:val="00061D74"/>
    <w:rsid w:val="00062791"/>
    <w:rsid w:val="00063EE4"/>
    <w:rsid w:val="00064EB1"/>
    <w:rsid w:val="00064F2B"/>
    <w:rsid w:val="000664A7"/>
    <w:rsid w:val="00066F56"/>
    <w:rsid w:val="0006729D"/>
    <w:rsid w:val="000677EE"/>
    <w:rsid w:val="000679B3"/>
    <w:rsid w:val="00071418"/>
    <w:rsid w:val="00071581"/>
    <w:rsid w:val="0007293A"/>
    <w:rsid w:val="00072C82"/>
    <w:rsid w:val="00072CD2"/>
    <w:rsid w:val="00072CE4"/>
    <w:rsid w:val="00072D1F"/>
    <w:rsid w:val="0007366C"/>
    <w:rsid w:val="00074189"/>
    <w:rsid w:val="00074306"/>
    <w:rsid w:val="00075FF8"/>
    <w:rsid w:val="00080C2C"/>
    <w:rsid w:val="00081AD6"/>
    <w:rsid w:val="0008269B"/>
    <w:rsid w:val="00083410"/>
    <w:rsid w:val="000837F8"/>
    <w:rsid w:val="000853F6"/>
    <w:rsid w:val="000867A8"/>
    <w:rsid w:val="00087036"/>
    <w:rsid w:val="00087EDB"/>
    <w:rsid w:val="00090F89"/>
    <w:rsid w:val="00093991"/>
    <w:rsid w:val="00093C11"/>
    <w:rsid w:val="00094631"/>
    <w:rsid w:val="0009533A"/>
    <w:rsid w:val="000954E6"/>
    <w:rsid w:val="00096382"/>
    <w:rsid w:val="0009795C"/>
    <w:rsid w:val="00097F80"/>
    <w:rsid w:val="000A2D2D"/>
    <w:rsid w:val="000A2E68"/>
    <w:rsid w:val="000A4241"/>
    <w:rsid w:val="000A45AB"/>
    <w:rsid w:val="000A5AC2"/>
    <w:rsid w:val="000B0078"/>
    <w:rsid w:val="000B35B0"/>
    <w:rsid w:val="000B3B58"/>
    <w:rsid w:val="000B3EFD"/>
    <w:rsid w:val="000B5087"/>
    <w:rsid w:val="000B659B"/>
    <w:rsid w:val="000B6E9F"/>
    <w:rsid w:val="000C42F9"/>
    <w:rsid w:val="000C54ED"/>
    <w:rsid w:val="000C6143"/>
    <w:rsid w:val="000C7382"/>
    <w:rsid w:val="000D03A9"/>
    <w:rsid w:val="000D08F8"/>
    <w:rsid w:val="000D2387"/>
    <w:rsid w:val="000D35BD"/>
    <w:rsid w:val="000D71CF"/>
    <w:rsid w:val="000D7225"/>
    <w:rsid w:val="000D722C"/>
    <w:rsid w:val="000E0485"/>
    <w:rsid w:val="000E2E7D"/>
    <w:rsid w:val="000E34F3"/>
    <w:rsid w:val="000E400B"/>
    <w:rsid w:val="000E4205"/>
    <w:rsid w:val="000E62BF"/>
    <w:rsid w:val="000E7CF6"/>
    <w:rsid w:val="000F0433"/>
    <w:rsid w:val="000F0802"/>
    <w:rsid w:val="000F1D3C"/>
    <w:rsid w:val="000F3233"/>
    <w:rsid w:val="000F3DD2"/>
    <w:rsid w:val="000F4243"/>
    <w:rsid w:val="000F4ABF"/>
    <w:rsid w:val="000F5426"/>
    <w:rsid w:val="000F5B66"/>
    <w:rsid w:val="000F5FF6"/>
    <w:rsid w:val="000F65C5"/>
    <w:rsid w:val="000F7056"/>
    <w:rsid w:val="000F7D2C"/>
    <w:rsid w:val="000F7F9F"/>
    <w:rsid w:val="001008D1"/>
    <w:rsid w:val="00100F0C"/>
    <w:rsid w:val="001025A3"/>
    <w:rsid w:val="0010303D"/>
    <w:rsid w:val="001036A0"/>
    <w:rsid w:val="0010457E"/>
    <w:rsid w:val="001065F5"/>
    <w:rsid w:val="00107786"/>
    <w:rsid w:val="00110417"/>
    <w:rsid w:val="001116B6"/>
    <w:rsid w:val="0011194F"/>
    <w:rsid w:val="00111E3E"/>
    <w:rsid w:val="001126F6"/>
    <w:rsid w:val="00115E7F"/>
    <w:rsid w:val="00117EFC"/>
    <w:rsid w:val="00122F58"/>
    <w:rsid w:val="0012352A"/>
    <w:rsid w:val="001238E9"/>
    <w:rsid w:val="0012411A"/>
    <w:rsid w:val="001242DE"/>
    <w:rsid w:val="001251E9"/>
    <w:rsid w:val="00125B8C"/>
    <w:rsid w:val="0012647A"/>
    <w:rsid w:val="001275DB"/>
    <w:rsid w:val="00130849"/>
    <w:rsid w:val="00130EED"/>
    <w:rsid w:val="00130F7B"/>
    <w:rsid w:val="0013153C"/>
    <w:rsid w:val="0013364F"/>
    <w:rsid w:val="00133B98"/>
    <w:rsid w:val="0013472F"/>
    <w:rsid w:val="00134733"/>
    <w:rsid w:val="0013533F"/>
    <w:rsid w:val="001359ED"/>
    <w:rsid w:val="0014026D"/>
    <w:rsid w:val="0014066A"/>
    <w:rsid w:val="00140B25"/>
    <w:rsid w:val="0014498F"/>
    <w:rsid w:val="001450DF"/>
    <w:rsid w:val="001463F3"/>
    <w:rsid w:val="0014734D"/>
    <w:rsid w:val="00152B36"/>
    <w:rsid w:val="001530B2"/>
    <w:rsid w:val="001539BE"/>
    <w:rsid w:val="001543E7"/>
    <w:rsid w:val="00154BB2"/>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163D"/>
    <w:rsid w:val="001725B6"/>
    <w:rsid w:val="00172ACA"/>
    <w:rsid w:val="00174417"/>
    <w:rsid w:val="001745FA"/>
    <w:rsid w:val="001749CF"/>
    <w:rsid w:val="00175CEC"/>
    <w:rsid w:val="00176B8E"/>
    <w:rsid w:val="00177BCC"/>
    <w:rsid w:val="0018035B"/>
    <w:rsid w:val="0018251A"/>
    <w:rsid w:val="0018458D"/>
    <w:rsid w:val="001846FB"/>
    <w:rsid w:val="00185658"/>
    <w:rsid w:val="00186A2E"/>
    <w:rsid w:val="00186BD7"/>
    <w:rsid w:val="00194AE5"/>
    <w:rsid w:val="00194E69"/>
    <w:rsid w:val="00197DD9"/>
    <w:rsid w:val="001A05F5"/>
    <w:rsid w:val="001A3999"/>
    <w:rsid w:val="001A46C0"/>
    <w:rsid w:val="001A57DB"/>
    <w:rsid w:val="001A586B"/>
    <w:rsid w:val="001A6EFF"/>
    <w:rsid w:val="001A73F1"/>
    <w:rsid w:val="001B043A"/>
    <w:rsid w:val="001B0EF8"/>
    <w:rsid w:val="001B1D26"/>
    <w:rsid w:val="001B1E1E"/>
    <w:rsid w:val="001B2F76"/>
    <w:rsid w:val="001B2F82"/>
    <w:rsid w:val="001B396B"/>
    <w:rsid w:val="001B4B9C"/>
    <w:rsid w:val="001B55D2"/>
    <w:rsid w:val="001B7D0D"/>
    <w:rsid w:val="001C0F94"/>
    <w:rsid w:val="001C13E9"/>
    <w:rsid w:val="001C3F7D"/>
    <w:rsid w:val="001C401D"/>
    <w:rsid w:val="001C4148"/>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0EC7"/>
    <w:rsid w:val="001F1728"/>
    <w:rsid w:val="001F2658"/>
    <w:rsid w:val="001F375E"/>
    <w:rsid w:val="001F3AD6"/>
    <w:rsid w:val="001F3CCB"/>
    <w:rsid w:val="001F63BD"/>
    <w:rsid w:val="001F6775"/>
    <w:rsid w:val="001F69BF"/>
    <w:rsid w:val="001F70BF"/>
    <w:rsid w:val="00200DF8"/>
    <w:rsid w:val="002024E9"/>
    <w:rsid w:val="00206282"/>
    <w:rsid w:val="0020639A"/>
    <w:rsid w:val="00210354"/>
    <w:rsid w:val="00210857"/>
    <w:rsid w:val="002119A2"/>
    <w:rsid w:val="00215CD1"/>
    <w:rsid w:val="0022162D"/>
    <w:rsid w:val="00221E60"/>
    <w:rsid w:val="002221CB"/>
    <w:rsid w:val="002222A4"/>
    <w:rsid w:val="00224F31"/>
    <w:rsid w:val="0022633B"/>
    <w:rsid w:val="00226F9D"/>
    <w:rsid w:val="00230DAA"/>
    <w:rsid w:val="00230F4A"/>
    <w:rsid w:val="00231E83"/>
    <w:rsid w:val="002325CE"/>
    <w:rsid w:val="0023523A"/>
    <w:rsid w:val="00235E45"/>
    <w:rsid w:val="002366EB"/>
    <w:rsid w:val="00237FDB"/>
    <w:rsid w:val="0024053C"/>
    <w:rsid w:val="0024338D"/>
    <w:rsid w:val="00243629"/>
    <w:rsid w:val="002436C1"/>
    <w:rsid w:val="00243DF5"/>
    <w:rsid w:val="002449BB"/>
    <w:rsid w:val="00245106"/>
    <w:rsid w:val="00245D03"/>
    <w:rsid w:val="00247A7D"/>
    <w:rsid w:val="0025150E"/>
    <w:rsid w:val="00252B51"/>
    <w:rsid w:val="00253997"/>
    <w:rsid w:val="00253A8D"/>
    <w:rsid w:val="0025423C"/>
    <w:rsid w:val="00254A3C"/>
    <w:rsid w:val="00254A8B"/>
    <w:rsid w:val="00256E57"/>
    <w:rsid w:val="0025744E"/>
    <w:rsid w:val="0026641B"/>
    <w:rsid w:val="002672C8"/>
    <w:rsid w:val="0026766B"/>
    <w:rsid w:val="00270665"/>
    <w:rsid w:val="00270804"/>
    <w:rsid w:val="0027087F"/>
    <w:rsid w:val="00271B5B"/>
    <w:rsid w:val="00272C53"/>
    <w:rsid w:val="00272E20"/>
    <w:rsid w:val="00273681"/>
    <w:rsid w:val="00274587"/>
    <w:rsid w:val="0027510A"/>
    <w:rsid w:val="002753C3"/>
    <w:rsid w:val="00276883"/>
    <w:rsid w:val="00276C78"/>
    <w:rsid w:val="002770C9"/>
    <w:rsid w:val="00277C1F"/>
    <w:rsid w:val="00280589"/>
    <w:rsid w:val="00280BA8"/>
    <w:rsid w:val="002821D7"/>
    <w:rsid w:val="00282304"/>
    <w:rsid w:val="00282F20"/>
    <w:rsid w:val="00286A20"/>
    <w:rsid w:val="00287B11"/>
    <w:rsid w:val="0029004F"/>
    <w:rsid w:val="00290504"/>
    <w:rsid w:val="00291B84"/>
    <w:rsid w:val="00292B5E"/>
    <w:rsid w:val="002932FC"/>
    <w:rsid w:val="00293A19"/>
    <w:rsid w:val="00293FBC"/>
    <w:rsid w:val="00294431"/>
    <w:rsid w:val="00294B49"/>
    <w:rsid w:val="00295538"/>
    <w:rsid w:val="00297034"/>
    <w:rsid w:val="00297B34"/>
    <w:rsid w:val="00297FBC"/>
    <w:rsid w:val="002A1D5F"/>
    <w:rsid w:val="002A2202"/>
    <w:rsid w:val="002A23E0"/>
    <w:rsid w:val="002A2E20"/>
    <w:rsid w:val="002A32DF"/>
    <w:rsid w:val="002A3914"/>
    <w:rsid w:val="002A4DD2"/>
    <w:rsid w:val="002A7DF5"/>
    <w:rsid w:val="002A7E94"/>
    <w:rsid w:val="002B0795"/>
    <w:rsid w:val="002B1932"/>
    <w:rsid w:val="002B1D8F"/>
    <w:rsid w:val="002B1F1C"/>
    <w:rsid w:val="002B2620"/>
    <w:rsid w:val="002B29F4"/>
    <w:rsid w:val="002B3225"/>
    <w:rsid w:val="002B5694"/>
    <w:rsid w:val="002B7844"/>
    <w:rsid w:val="002C0181"/>
    <w:rsid w:val="002C021F"/>
    <w:rsid w:val="002C2056"/>
    <w:rsid w:val="002C23F7"/>
    <w:rsid w:val="002C3367"/>
    <w:rsid w:val="002C5770"/>
    <w:rsid w:val="002C68E0"/>
    <w:rsid w:val="002C7CB4"/>
    <w:rsid w:val="002C7E29"/>
    <w:rsid w:val="002D027E"/>
    <w:rsid w:val="002D2324"/>
    <w:rsid w:val="002D29FD"/>
    <w:rsid w:val="002D2AEC"/>
    <w:rsid w:val="002D2C1F"/>
    <w:rsid w:val="002D4E9A"/>
    <w:rsid w:val="002D7BB3"/>
    <w:rsid w:val="002E1382"/>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07A48"/>
    <w:rsid w:val="00310163"/>
    <w:rsid w:val="00310374"/>
    <w:rsid w:val="00310A72"/>
    <w:rsid w:val="00311C18"/>
    <w:rsid w:val="00312445"/>
    <w:rsid w:val="003128A0"/>
    <w:rsid w:val="0031298C"/>
    <w:rsid w:val="00313D52"/>
    <w:rsid w:val="00314235"/>
    <w:rsid w:val="0032119C"/>
    <w:rsid w:val="00321C2B"/>
    <w:rsid w:val="00324E2B"/>
    <w:rsid w:val="0032607C"/>
    <w:rsid w:val="00326E7B"/>
    <w:rsid w:val="0033166C"/>
    <w:rsid w:val="0033315A"/>
    <w:rsid w:val="0033358A"/>
    <w:rsid w:val="00334052"/>
    <w:rsid w:val="003342B8"/>
    <w:rsid w:val="00334D65"/>
    <w:rsid w:val="0033504B"/>
    <w:rsid w:val="003362C7"/>
    <w:rsid w:val="00336A5A"/>
    <w:rsid w:val="00337AA0"/>
    <w:rsid w:val="00340F90"/>
    <w:rsid w:val="00342ADB"/>
    <w:rsid w:val="00343B0F"/>
    <w:rsid w:val="0034618B"/>
    <w:rsid w:val="00347006"/>
    <w:rsid w:val="00347C86"/>
    <w:rsid w:val="00347D0D"/>
    <w:rsid w:val="00350342"/>
    <w:rsid w:val="003503AE"/>
    <w:rsid w:val="00350881"/>
    <w:rsid w:val="003511ED"/>
    <w:rsid w:val="00351D8C"/>
    <w:rsid w:val="0035213A"/>
    <w:rsid w:val="00353419"/>
    <w:rsid w:val="00355122"/>
    <w:rsid w:val="00355258"/>
    <w:rsid w:val="00355D35"/>
    <w:rsid w:val="00356370"/>
    <w:rsid w:val="0035668F"/>
    <w:rsid w:val="00360094"/>
    <w:rsid w:val="00361313"/>
    <w:rsid w:val="00361E69"/>
    <w:rsid w:val="003625D5"/>
    <w:rsid w:val="003627FB"/>
    <w:rsid w:val="00362826"/>
    <w:rsid w:val="0036403D"/>
    <w:rsid w:val="0036455C"/>
    <w:rsid w:val="00366074"/>
    <w:rsid w:val="00367122"/>
    <w:rsid w:val="0037083D"/>
    <w:rsid w:val="0037229F"/>
    <w:rsid w:val="00372402"/>
    <w:rsid w:val="003725B4"/>
    <w:rsid w:val="003726C4"/>
    <w:rsid w:val="00372832"/>
    <w:rsid w:val="00372B67"/>
    <w:rsid w:val="00373237"/>
    <w:rsid w:val="00374273"/>
    <w:rsid w:val="00375BEB"/>
    <w:rsid w:val="00376909"/>
    <w:rsid w:val="00377D6B"/>
    <w:rsid w:val="003800B4"/>
    <w:rsid w:val="003809E0"/>
    <w:rsid w:val="003814E2"/>
    <w:rsid w:val="00381AF1"/>
    <w:rsid w:val="00381E88"/>
    <w:rsid w:val="003821F9"/>
    <w:rsid w:val="003827CD"/>
    <w:rsid w:val="003835EB"/>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3AB7"/>
    <w:rsid w:val="003B436E"/>
    <w:rsid w:val="003B6220"/>
    <w:rsid w:val="003B67D8"/>
    <w:rsid w:val="003B7430"/>
    <w:rsid w:val="003B76DC"/>
    <w:rsid w:val="003C1E93"/>
    <w:rsid w:val="003C596C"/>
    <w:rsid w:val="003C655B"/>
    <w:rsid w:val="003C6A84"/>
    <w:rsid w:val="003D03AF"/>
    <w:rsid w:val="003D07CA"/>
    <w:rsid w:val="003D1FE5"/>
    <w:rsid w:val="003D2D67"/>
    <w:rsid w:val="003D3735"/>
    <w:rsid w:val="003D4E30"/>
    <w:rsid w:val="003D5148"/>
    <w:rsid w:val="003D5C90"/>
    <w:rsid w:val="003D6081"/>
    <w:rsid w:val="003D6720"/>
    <w:rsid w:val="003D6B3F"/>
    <w:rsid w:val="003D6CDF"/>
    <w:rsid w:val="003D7951"/>
    <w:rsid w:val="003E030F"/>
    <w:rsid w:val="003E07CF"/>
    <w:rsid w:val="003E1EFB"/>
    <w:rsid w:val="003E20DB"/>
    <w:rsid w:val="003E2B26"/>
    <w:rsid w:val="003E4299"/>
    <w:rsid w:val="003E70B9"/>
    <w:rsid w:val="003E7812"/>
    <w:rsid w:val="003F1494"/>
    <w:rsid w:val="003F2136"/>
    <w:rsid w:val="003F277A"/>
    <w:rsid w:val="003F31E6"/>
    <w:rsid w:val="003F40F9"/>
    <w:rsid w:val="003F46B6"/>
    <w:rsid w:val="003F4C40"/>
    <w:rsid w:val="003F52FE"/>
    <w:rsid w:val="003F580D"/>
    <w:rsid w:val="003F61D7"/>
    <w:rsid w:val="003F6475"/>
    <w:rsid w:val="00401D49"/>
    <w:rsid w:val="00401F3A"/>
    <w:rsid w:val="004021CB"/>
    <w:rsid w:val="0040272E"/>
    <w:rsid w:val="00402EA0"/>
    <w:rsid w:val="004041C9"/>
    <w:rsid w:val="00404615"/>
    <w:rsid w:val="00407407"/>
    <w:rsid w:val="004079CC"/>
    <w:rsid w:val="004106A7"/>
    <w:rsid w:val="004108D9"/>
    <w:rsid w:val="00412823"/>
    <w:rsid w:val="00412CB8"/>
    <w:rsid w:val="0041382E"/>
    <w:rsid w:val="00413D00"/>
    <w:rsid w:val="00414410"/>
    <w:rsid w:val="00414992"/>
    <w:rsid w:val="00414C90"/>
    <w:rsid w:val="004153ED"/>
    <w:rsid w:val="00415B87"/>
    <w:rsid w:val="00416ED0"/>
    <w:rsid w:val="004175B0"/>
    <w:rsid w:val="00421C9B"/>
    <w:rsid w:val="00421ED6"/>
    <w:rsid w:val="00426041"/>
    <w:rsid w:val="00426CBC"/>
    <w:rsid w:val="0042769A"/>
    <w:rsid w:val="0043002F"/>
    <w:rsid w:val="004303B3"/>
    <w:rsid w:val="00430927"/>
    <w:rsid w:val="0043308A"/>
    <w:rsid w:val="00433113"/>
    <w:rsid w:val="0043673C"/>
    <w:rsid w:val="00437DA0"/>
    <w:rsid w:val="004412CE"/>
    <w:rsid w:val="0044188C"/>
    <w:rsid w:val="00442277"/>
    <w:rsid w:val="00442603"/>
    <w:rsid w:val="00442985"/>
    <w:rsid w:val="00442BB2"/>
    <w:rsid w:val="00444898"/>
    <w:rsid w:val="00445E88"/>
    <w:rsid w:val="0045186E"/>
    <w:rsid w:val="00453254"/>
    <w:rsid w:val="00453451"/>
    <w:rsid w:val="0045366F"/>
    <w:rsid w:val="00453F4D"/>
    <w:rsid w:val="00455D49"/>
    <w:rsid w:val="00455DF1"/>
    <w:rsid w:val="0045751C"/>
    <w:rsid w:val="00460F22"/>
    <w:rsid w:val="004613C0"/>
    <w:rsid w:val="00461AED"/>
    <w:rsid w:val="004622CE"/>
    <w:rsid w:val="00462B83"/>
    <w:rsid w:val="0046413A"/>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3A1E"/>
    <w:rsid w:val="00473D20"/>
    <w:rsid w:val="0047530A"/>
    <w:rsid w:val="004761F8"/>
    <w:rsid w:val="0047624F"/>
    <w:rsid w:val="00476551"/>
    <w:rsid w:val="00476764"/>
    <w:rsid w:val="00477506"/>
    <w:rsid w:val="00477994"/>
    <w:rsid w:val="0048029F"/>
    <w:rsid w:val="00480ED0"/>
    <w:rsid w:val="00481CB0"/>
    <w:rsid w:val="00481CC2"/>
    <w:rsid w:val="00482A14"/>
    <w:rsid w:val="00482CC2"/>
    <w:rsid w:val="004835E4"/>
    <w:rsid w:val="00484CF0"/>
    <w:rsid w:val="004856F7"/>
    <w:rsid w:val="00487169"/>
    <w:rsid w:val="00490539"/>
    <w:rsid w:val="004907EE"/>
    <w:rsid w:val="00490958"/>
    <w:rsid w:val="00490F50"/>
    <w:rsid w:val="004910C2"/>
    <w:rsid w:val="00491342"/>
    <w:rsid w:val="00491B25"/>
    <w:rsid w:val="004925DF"/>
    <w:rsid w:val="004929D1"/>
    <w:rsid w:val="004931EF"/>
    <w:rsid w:val="004939CA"/>
    <w:rsid w:val="004943E7"/>
    <w:rsid w:val="00497627"/>
    <w:rsid w:val="00497D5C"/>
    <w:rsid w:val="004A0025"/>
    <w:rsid w:val="004A11E1"/>
    <w:rsid w:val="004A243A"/>
    <w:rsid w:val="004A2756"/>
    <w:rsid w:val="004A43DB"/>
    <w:rsid w:val="004A49CD"/>
    <w:rsid w:val="004A4AED"/>
    <w:rsid w:val="004A58D1"/>
    <w:rsid w:val="004A591E"/>
    <w:rsid w:val="004A5E88"/>
    <w:rsid w:val="004A65C0"/>
    <w:rsid w:val="004A6C11"/>
    <w:rsid w:val="004A6E41"/>
    <w:rsid w:val="004B1E66"/>
    <w:rsid w:val="004B4001"/>
    <w:rsid w:val="004B4B39"/>
    <w:rsid w:val="004B598C"/>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6E8F"/>
    <w:rsid w:val="004D73A7"/>
    <w:rsid w:val="004D7BA3"/>
    <w:rsid w:val="004E0A42"/>
    <w:rsid w:val="004E3184"/>
    <w:rsid w:val="004E3C6A"/>
    <w:rsid w:val="004E578D"/>
    <w:rsid w:val="004E645B"/>
    <w:rsid w:val="004F0FC9"/>
    <w:rsid w:val="004F1976"/>
    <w:rsid w:val="004F3AC9"/>
    <w:rsid w:val="004F3E60"/>
    <w:rsid w:val="004F46F0"/>
    <w:rsid w:val="004F4F78"/>
    <w:rsid w:val="004F55EC"/>
    <w:rsid w:val="004F64C1"/>
    <w:rsid w:val="0050008C"/>
    <w:rsid w:val="00500F96"/>
    <w:rsid w:val="005013A2"/>
    <w:rsid w:val="00501E90"/>
    <w:rsid w:val="005021AC"/>
    <w:rsid w:val="00503302"/>
    <w:rsid w:val="0050386F"/>
    <w:rsid w:val="005059A6"/>
    <w:rsid w:val="00510526"/>
    <w:rsid w:val="00510823"/>
    <w:rsid w:val="0051208D"/>
    <w:rsid w:val="00514531"/>
    <w:rsid w:val="00515789"/>
    <w:rsid w:val="00516DA1"/>
    <w:rsid w:val="00517A09"/>
    <w:rsid w:val="005201F1"/>
    <w:rsid w:val="00520ACC"/>
    <w:rsid w:val="00520B0B"/>
    <w:rsid w:val="00520DB0"/>
    <w:rsid w:val="005212D4"/>
    <w:rsid w:val="0052415B"/>
    <w:rsid w:val="00524AF2"/>
    <w:rsid w:val="005266CB"/>
    <w:rsid w:val="005278DA"/>
    <w:rsid w:val="00527FBD"/>
    <w:rsid w:val="005303CB"/>
    <w:rsid w:val="0053069A"/>
    <w:rsid w:val="005308B0"/>
    <w:rsid w:val="005332C4"/>
    <w:rsid w:val="0053444E"/>
    <w:rsid w:val="00534CE2"/>
    <w:rsid w:val="00534DA6"/>
    <w:rsid w:val="0053510C"/>
    <w:rsid w:val="00535310"/>
    <w:rsid w:val="005362B4"/>
    <w:rsid w:val="0053633A"/>
    <w:rsid w:val="005369FC"/>
    <w:rsid w:val="005400DC"/>
    <w:rsid w:val="005411FB"/>
    <w:rsid w:val="00542CCA"/>
    <w:rsid w:val="0054309D"/>
    <w:rsid w:val="005436F3"/>
    <w:rsid w:val="00544451"/>
    <w:rsid w:val="005449D5"/>
    <w:rsid w:val="00544A6C"/>
    <w:rsid w:val="00551427"/>
    <w:rsid w:val="00551C0A"/>
    <w:rsid w:val="00552ECA"/>
    <w:rsid w:val="005532BD"/>
    <w:rsid w:val="00554430"/>
    <w:rsid w:val="005544FD"/>
    <w:rsid w:val="00555D40"/>
    <w:rsid w:val="00560551"/>
    <w:rsid w:val="0056098B"/>
    <w:rsid w:val="00560C1D"/>
    <w:rsid w:val="00561FE9"/>
    <w:rsid w:val="00562524"/>
    <w:rsid w:val="00562804"/>
    <w:rsid w:val="00564F46"/>
    <w:rsid w:val="005659B2"/>
    <w:rsid w:val="00566CB6"/>
    <w:rsid w:val="00566F54"/>
    <w:rsid w:val="00567AAC"/>
    <w:rsid w:val="00570E1D"/>
    <w:rsid w:val="00570F5F"/>
    <w:rsid w:val="00572A2F"/>
    <w:rsid w:val="00572C28"/>
    <w:rsid w:val="00572D91"/>
    <w:rsid w:val="00574893"/>
    <w:rsid w:val="00575E03"/>
    <w:rsid w:val="00576B9E"/>
    <w:rsid w:val="00577555"/>
    <w:rsid w:val="0057778D"/>
    <w:rsid w:val="005803F4"/>
    <w:rsid w:val="005803FA"/>
    <w:rsid w:val="00581B3F"/>
    <w:rsid w:val="0058330C"/>
    <w:rsid w:val="00583A5E"/>
    <w:rsid w:val="00590CD8"/>
    <w:rsid w:val="00591A70"/>
    <w:rsid w:val="00593310"/>
    <w:rsid w:val="00593C66"/>
    <w:rsid w:val="0059440A"/>
    <w:rsid w:val="00595C4D"/>
    <w:rsid w:val="00596453"/>
    <w:rsid w:val="00597290"/>
    <w:rsid w:val="00597498"/>
    <w:rsid w:val="0059767A"/>
    <w:rsid w:val="00597860"/>
    <w:rsid w:val="00597C64"/>
    <w:rsid w:val="005A2E37"/>
    <w:rsid w:val="005A4D2A"/>
    <w:rsid w:val="005A6007"/>
    <w:rsid w:val="005A6752"/>
    <w:rsid w:val="005A6DE4"/>
    <w:rsid w:val="005A7236"/>
    <w:rsid w:val="005B08B3"/>
    <w:rsid w:val="005B0F07"/>
    <w:rsid w:val="005B16D7"/>
    <w:rsid w:val="005B1722"/>
    <w:rsid w:val="005B1BB5"/>
    <w:rsid w:val="005B1FB3"/>
    <w:rsid w:val="005B2156"/>
    <w:rsid w:val="005B3AC2"/>
    <w:rsid w:val="005B4027"/>
    <w:rsid w:val="005B62FA"/>
    <w:rsid w:val="005B6576"/>
    <w:rsid w:val="005C09F1"/>
    <w:rsid w:val="005C1CF3"/>
    <w:rsid w:val="005C37A8"/>
    <w:rsid w:val="005C3B0D"/>
    <w:rsid w:val="005C4A33"/>
    <w:rsid w:val="005C4B2D"/>
    <w:rsid w:val="005C5BC2"/>
    <w:rsid w:val="005C6C75"/>
    <w:rsid w:val="005C72E9"/>
    <w:rsid w:val="005C79F4"/>
    <w:rsid w:val="005D06E7"/>
    <w:rsid w:val="005D46AD"/>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E6F96"/>
    <w:rsid w:val="005F0E22"/>
    <w:rsid w:val="005F15EA"/>
    <w:rsid w:val="005F1604"/>
    <w:rsid w:val="005F24F4"/>
    <w:rsid w:val="005F2903"/>
    <w:rsid w:val="005F31D7"/>
    <w:rsid w:val="005F3AA3"/>
    <w:rsid w:val="005F537F"/>
    <w:rsid w:val="005F7D07"/>
    <w:rsid w:val="0060020D"/>
    <w:rsid w:val="00602794"/>
    <w:rsid w:val="0060289C"/>
    <w:rsid w:val="00604135"/>
    <w:rsid w:val="00604180"/>
    <w:rsid w:val="00605047"/>
    <w:rsid w:val="006058CB"/>
    <w:rsid w:val="00606754"/>
    <w:rsid w:val="0060733C"/>
    <w:rsid w:val="0060748F"/>
    <w:rsid w:val="0061140B"/>
    <w:rsid w:val="00612668"/>
    <w:rsid w:val="00613453"/>
    <w:rsid w:val="00613EA8"/>
    <w:rsid w:val="0061470B"/>
    <w:rsid w:val="00615377"/>
    <w:rsid w:val="00615563"/>
    <w:rsid w:val="00616AE1"/>
    <w:rsid w:val="00617F6B"/>
    <w:rsid w:val="0062067C"/>
    <w:rsid w:val="006214AD"/>
    <w:rsid w:val="006224C0"/>
    <w:rsid w:val="006235C4"/>
    <w:rsid w:val="00625863"/>
    <w:rsid w:val="00625F67"/>
    <w:rsid w:val="006260E5"/>
    <w:rsid w:val="00627B69"/>
    <w:rsid w:val="00633754"/>
    <w:rsid w:val="00635E85"/>
    <w:rsid w:val="006371FF"/>
    <w:rsid w:val="00643716"/>
    <w:rsid w:val="006441EC"/>
    <w:rsid w:val="00644A75"/>
    <w:rsid w:val="006472A0"/>
    <w:rsid w:val="00651512"/>
    <w:rsid w:val="00653B76"/>
    <w:rsid w:val="00653E20"/>
    <w:rsid w:val="00654956"/>
    <w:rsid w:val="00654DE7"/>
    <w:rsid w:val="0065533C"/>
    <w:rsid w:val="00656A9D"/>
    <w:rsid w:val="00656F5E"/>
    <w:rsid w:val="00657BCB"/>
    <w:rsid w:val="00661B05"/>
    <w:rsid w:val="00662CBC"/>
    <w:rsid w:val="006639BE"/>
    <w:rsid w:val="00666AAB"/>
    <w:rsid w:val="00666FD1"/>
    <w:rsid w:val="0067038D"/>
    <w:rsid w:val="00671A6A"/>
    <w:rsid w:val="00673F0C"/>
    <w:rsid w:val="00673F58"/>
    <w:rsid w:val="006749D7"/>
    <w:rsid w:val="006753D8"/>
    <w:rsid w:val="00675DB3"/>
    <w:rsid w:val="00676A38"/>
    <w:rsid w:val="00680098"/>
    <w:rsid w:val="00680957"/>
    <w:rsid w:val="00680BA2"/>
    <w:rsid w:val="00686325"/>
    <w:rsid w:val="00686EC4"/>
    <w:rsid w:val="00687063"/>
    <w:rsid w:val="00691425"/>
    <w:rsid w:val="00695E17"/>
    <w:rsid w:val="00696763"/>
    <w:rsid w:val="0069734A"/>
    <w:rsid w:val="006A1349"/>
    <w:rsid w:val="006A139A"/>
    <w:rsid w:val="006A1939"/>
    <w:rsid w:val="006A303A"/>
    <w:rsid w:val="006A3D89"/>
    <w:rsid w:val="006A414E"/>
    <w:rsid w:val="006A45A4"/>
    <w:rsid w:val="006A489E"/>
    <w:rsid w:val="006A6BB4"/>
    <w:rsid w:val="006B0367"/>
    <w:rsid w:val="006B03C4"/>
    <w:rsid w:val="006B147C"/>
    <w:rsid w:val="006B202A"/>
    <w:rsid w:val="006B4802"/>
    <w:rsid w:val="006B5097"/>
    <w:rsid w:val="006B5516"/>
    <w:rsid w:val="006B5CD7"/>
    <w:rsid w:val="006B5D36"/>
    <w:rsid w:val="006B5E1C"/>
    <w:rsid w:val="006B7A09"/>
    <w:rsid w:val="006C42CE"/>
    <w:rsid w:val="006C5486"/>
    <w:rsid w:val="006C592D"/>
    <w:rsid w:val="006C5E62"/>
    <w:rsid w:val="006C74B3"/>
    <w:rsid w:val="006D3791"/>
    <w:rsid w:val="006D463E"/>
    <w:rsid w:val="006D465F"/>
    <w:rsid w:val="006D4B88"/>
    <w:rsid w:val="006D5492"/>
    <w:rsid w:val="006D5D0D"/>
    <w:rsid w:val="006D7021"/>
    <w:rsid w:val="006D7209"/>
    <w:rsid w:val="006E11C9"/>
    <w:rsid w:val="006E1941"/>
    <w:rsid w:val="006E31AE"/>
    <w:rsid w:val="006E4984"/>
    <w:rsid w:val="006E5E71"/>
    <w:rsid w:val="006E6031"/>
    <w:rsid w:val="006E61F6"/>
    <w:rsid w:val="006E695F"/>
    <w:rsid w:val="006E75DF"/>
    <w:rsid w:val="006F12AB"/>
    <w:rsid w:val="006F1FBE"/>
    <w:rsid w:val="006F2DE0"/>
    <w:rsid w:val="006F32BF"/>
    <w:rsid w:val="006F3311"/>
    <w:rsid w:val="006F38F6"/>
    <w:rsid w:val="006F3989"/>
    <w:rsid w:val="006F4219"/>
    <w:rsid w:val="006F520B"/>
    <w:rsid w:val="006F570B"/>
    <w:rsid w:val="006F575A"/>
    <w:rsid w:val="00700A73"/>
    <w:rsid w:val="007015E9"/>
    <w:rsid w:val="00701999"/>
    <w:rsid w:val="00702050"/>
    <w:rsid w:val="00702A10"/>
    <w:rsid w:val="007030D0"/>
    <w:rsid w:val="00703926"/>
    <w:rsid w:val="00704993"/>
    <w:rsid w:val="00704ED8"/>
    <w:rsid w:val="0070601C"/>
    <w:rsid w:val="00707008"/>
    <w:rsid w:val="0071025D"/>
    <w:rsid w:val="00710993"/>
    <w:rsid w:val="00712884"/>
    <w:rsid w:val="00713C6D"/>
    <w:rsid w:val="00715090"/>
    <w:rsid w:val="00715379"/>
    <w:rsid w:val="00715571"/>
    <w:rsid w:val="00715606"/>
    <w:rsid w:val="0071587A"/>
    <w:rsid w:val="007159EB"/>
    <w:rsid w:val="007160E0"/>
    <w:rsid w:val="00716E3F"/>
    <w:rsid w:val="00717DE7"/>
    <w:rsid w:val="00720629"/>
    <w:rsid w:val="00720B16"/>
    <w:rsid w:val="0072156E"/>
    <w:rsid w:val="0072185A"/>
    <w:rsid w:val="007219C5"/>
    <w:rsid w:val="007223FC"/>
    <w:rsid w:val="00725F23"/>
    <w:rsid w:val="007267EB"/>
    <w:rsid w:val="0072737A"/>
    <w:rsid w:val="00730159"/>
    <w:rsid w:val="00730C0D"/>
    <w:rsid w:val="00730F30"/>
    <w:rsid w:val="0073129C"/>
    <w:rsid w:val="00732E80"/>
    <w:rsid w:val="007339DB"/>
    <w:rsid w:val="00734469"/>
    <w:rsid w:val="00734F65"/>
    <w:rsid w:val="007352F8"/>
    <w:rsid w:val="007356FC"/>
    <w:rsid w:val="00735CE3"/>
    <w:rsid w:val="0074101E"/>
    <w:rsid w:val="0074150A"/>
    <w:rsid w:val="00741A4D"/>
    <w:rsid w:val="00741FEC"/>
    <w:rsid w:val="007433D3"/>
    <w:rsid w:val="00743F1B"/>
    <w:rsid w:val="0074430F"/>
    <w:rsid w:val="007448B9"/>
    <w:rsid w:val="00746100"/>
    <w:rsid w:val="007468E9"/>
    <w:rsid w:val="00746BED"/>
    <w:rsid w:val="00747D71"/>
    <w:rsid w:val="00750288"/>
    <w:rsid w:val="007512E0"/>
    <w:rsid w:val="00751BF1"/>
    <w:rsid w:val="007537F1"/>
    <w:rsid w:val="00754358"/>
    <w:rsid w:val="00754B99"/>
    <w:rsid w:val="007567FF"/>
    <w:rsid w:val="00756DA9"/>
    <w:rsid w:val="0075794D"/>
    <w:rsid w:val="007608C8"/>
    <w:rsid w:val="00761696"/>
    <w:rsid w:val="00761834"/>
    <w:rsid w:val="007619E9"/>
    <w:rsid w:val="00761BB9"/>
    <w:rsid w:val="00761D56"/>
    <w:rsid w:val="007620D8"/>
    <w:rsid w:val="007631A8"/>
    <w:rsid w:val="00763A3F"/>
    <w:rsid w:val="0076420A"/>
    <w:rsid w:val="0076492F"/>
    <w:rsid w:val="00764D0F"/>
    <w:rsid w:val="00764ED5"/>
    <w:rsid w:val="007665AE"/>
    <w:rsid w:val="007665E7"/>
    <w:rsid w:val="00773845"/>
    <w:rsid w:val="00775364"/>
    <w:rsid w:val="007756AC"/>
    <w:rsid w:val="0077605D"/>
    <w:rsid w:val="007801FF"/>
    <w:rsid w:val="00780896"/>
    <w:rsid w:val="00780E48"/>
    <w:rsid w:val="00780FF2"/>
    <w:rsid w:val="007815A1"/>
    <w:rsid w:val="00783BF6"/>
    <w:rsid w:val="0078501F"/>
    <w:rsid w:val="00785229"/>
    <w:rsid w:val="00786AE8"/>
    <w:rsid w:val="00790806"/>
    <w:rsid w:val="0079186B"/>
    <w:rsid w:val="007919EE"/>
    <w:rsid w:val="007921AF"/>
    <w:rsid w:val="007923D7"/>
    <w:rsid w:val="0079299C"/>
    <w:rsid w:val="00792F10"/>
    <w:rsid w:val="00793312"/>
    <w:rsid w:val="00796A9E"/>
    <w:rsid w:val="00797087"/>
    <w:rsid w:val="00797687"/>
    <w:rsid w:val="007A0BE3"/>
    <w:rsid w:val="007A14F5"/>
    <w:rsid w:val="007A25AF"/>
    <w:rsid w:val="007A2767"/>
    <w:rsid w:val="007A30A5"/>
    <w:rsid w:val="007A3A45"/>
    <w:rsid w:val="007A57B5"/>
    <w:rsid w:val="007A5FB9"/>
    <w:rsid w:val="007A70C6"/>
    <w:rsid w:val="007B11D0"/>
    <w:rsid w:val="007B1CB5"/>
    <w:rsid w:val="007B27E9"/>
    <w:rsid w:val="007B2987"/>
    <w:rsid w:val="007B5B6E"/>
    <w:rsid w:val="007B6A8F"/>
    <w:rsid w:val="007B70D3"/>
    <w:rsid w:val="007C1116"/>
    <w:rsid w:val="007C3AA6"/>
    <w:rsid w:val="007C4EF2"/>
    <w:rsid w:val="007C55D4"/>
    <w:rsid w:val="007C6F65"/>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8EC"/>
    <w:rsid w:val="007E4D5F"/>
    <w:rsid w:val="007E7C73"/>
    <w:rsid w:val="007F0225"/>
    <w:rsid w:val="007F0AC8"/>
    <w:rsid w:val="007F0D7F"/>
    <w:rsid w:val="007F10CE"/>
    <w:rsid w:val="007F167C"/>
    <w:rsid w:val="007F2066"/>
    <w:rsid w:val="007F2B93"/>
    <w:rsid w:val="007F3367"/>
    <w:rsid w:val="007F4005"/>
    <w:rsid w:val="007F4093"/>
    <w:rsid w:val="007F473B"/>
    <w:rsid w:val="007F5137"/>
    <w:rsid w:val="007F64E9"/>
    <w:rsid w:val="007F7EFE"/>
    <w:rsid w:val="0080100B"/>
    <w:rsid w:val="008016B2"/>
    <w:rsid w:val="00802421"/>
    <w:rsid w:val="00802684"/>
    <w:rsid w:val="00804380"/>
    <w:rsid w:val="00804490"/>
    <w:rsid w:val="008049F3"/>
    <w:rsid w:val="00806B2A"/>
    <w:rsid w:val="00806B44"/>
    <w:rsid w:val="00810DA4"/>
    <w:rsid w:val="0081266C"/>
    <w:rsid w:val="00812D6B"/>
    <w:rsid w:val="00813597"/>
    <w:rsid w:val="0081375A"/>
    <w:rsid w:val="00814153"/>
    <w:rsid w:val="00814427"/>
    <w:rsid w:val="00814A29"/>
    <w:rsid w:val="008259B8"/>
    <w:rsid w:val="00825ADA"/>
    <w:rsid w:val="00825DEA"/>
    <w:rsid w:val="008269D1"/>
    <w:rsid w:val="00826DE2"/>
    <w:rsid w:val="008279A8"/>
    <w:rsid w:val="00827E59"/>
    <w:rsid w:val="00830547"/>
    <w:rsid w:val="0083160C"/>
    <w:rsid w:val="0083338A"/>
    <w:rsid w:val="00833923"/>
    <w:rsid w:val="00834CDA"/>
    <w:rsid w:val="008362EF"/>
    <w:rsid w:val="008367C0"/>
    <w:rsid w:val="00840F68"/>
    <w:rsid w:val="00843EBB"/>
    <w:rsid w:val="008443EB"/>
    <w:rsid w:val="00844E1C"/>
    <w:rsid w:val="00850104"/>
    <w:rsid w:val="00855674"/>
    <w:rsid w:val="00855963"/>
    <w:rsid w:val="00861A71"/>
    <w:rsid w:val="00861E88"/>
    <w:rsid w:val="0086291A"/>
    <w:rsid w:val="00862D4F"/>
    <w:rsid w:val="008630E5"/>
    <w:rsid w:val="00865ACD"/>
    <w:rsid w:val="0087024A"/>
    <w:rsid w:val="00871456"/>
    <w:rsid w:val="00871C4A"/>
    <w:rsid w:val="00872ABA"/>
    <w:rsid w:val="00872B47"/>
    <w:rsid w:val="00872FCE"/>
    <w:rsid w:val="00874EBD"/>
    <w:rsid w:val="008761FC"/>
    <w:rsid w:val="00876856"/>
    <w:rsid w:val="0087711A"/>
    <w:rsid w:val="0087788E"/>
    <w:rsid w:val="00877D2F"/>
    <w:rsid w:val="008800C1"/>
    <w:rsid w:val="00880F0C"/>
    <w:rsid w:val="00881137"/>
    <w:rsid w:val="00882B38"/>
    <w:rsid w:val="00883A75"/>
    <w:rsid w:val="00883B8A"/>
    <w:rsid w:val="00883F98"/>
    <w:rsid w:val="00884396"/>
    <w:rsid w:val="008843FC"/>
    <w:rsid w:val="008844EF"/>
    <w:rsid w:val="008862BD"/>
    <w:rsid w:val="008917E7"/>
    <w:rsid w:val="0089467B"/>
    <w:rsid w:val="008962E9"/>
    <w:rsid w:val="0089653C"/>
    <w:rsid w:val="008A0DE6"/>
    <w:rsid w:val="008A1FF5"/>
    <w:rsid w:val="008A233D"/>
    <w:rsid w:val="008A237E"/>
    <w:rsid w:val="008A2781"/>
    <w:rsid w:val="008A38B1"/>
    <w:rsid w:val="008A447D"/>
    <w:rsid w:val="008A4AF5"/>
    <w:rsid w:val="008A62A5"/>
    <w:rsid w:val="008A6E9A"/>
    <w:rsid w:val="008A7E2E"/>
    <w:rsid w:val="008B09A1"/>
    <w:rsid w:val="008B1756"/>
    <w:rsid w:val="008B18AE"/>
    <w:rsid w:val="008B3124"/>
    <w:rsid w:val="008B39B8"/>
    <w:rsid w:val="008B4C8D"/>
    <w:rsid w:val="008B6595"/>
    <w:rsid w:val="008B6744"/>
    <w:rsid w:val="008B6BED"/>
    <w:rsid w:val="008B72A5"/>
    <w:rsid w:val="008B7762"/>
    <w:rsid w:val="008C03E2"/>
    <w:rsid w:val="008C0421"/>
    <w:rsid w:val="008C1918"/>
    <w:rsid w:val="008C1A51"/>
    <w:rsid w:val="008C2A4A"/>
    <w:rsid w:val="008C2CCD"/>
    <w:rsid w:val="008C2F29"/>
    <w:rsid w:val="008C4675"/>
    <w:rsid w:val="008C4AD0"/>
    <w:rsid w:val="008C50D3"/>
    <w:rsid w:val="008C5E4E"/>
    <w:rsid w:val="008C5E56"/>
    <w:rsid w:val="008C5F9A"/>
    <w:rsid w:val="008C6B30"/>
    <w:rsid w:val="008D29F5"/>
    <w:rsid w:val="008D3033"/>
    <w:rsid w:val="008D307E"/>
    <w:rsid w:val="008D3E25"/>
    <w:rsid w:val="008D493B"/>
    <w:rsid w:val="008D4A7C"/>
    <w:rsid w:val="008D51DA"/>
    <w:rsid w:val="008D53A9"/>
    <w:rsid w:val="008D5615"/>
    <w:rsid w:val="008D5F0D"/>
    <w:rsid w:val="008D683A"/>
    <w:rsid w:val="008E0359"/>
    <w:rsid w:val="008E0805"/>
    <w:rsid w:val="008E0FFB"/>
    <w:rsid w:val="008E11F0"/>
    <w:rsid w:val="008E260D"/>
    <w:rsid w:val="008E2B4D"/>
    <w:rsid w:val="008E3094"/>
    <w:rsid w:val="008E3295"/>
    <w:rsid w:val="008E3532"/>
    <w:rsid w:val="008E392B"/>
    <w:rsid w:val="008E55EA"/>
    <w:rsid w:val="008E5926"/>
    <w:rsid w:val="008E74A4"/>
    <w:rsid w:val="008E75C5"/>
    <w:rsid w:val="008E7887"/>
    <w:rsid w:val="008E7E6E"/>
    <w:rsid w:val="008F1194"/>
    <w:rsid w:val="008F1816"/>
    <w:rsid w:val="008F1884"/>
    <w:rsid w:val="008F20AA"/>
    <w:rsid w:val="008F20FA"/>
    <w:rsid w:val="008F237A"/>
    <w:rsid w:val="008F2796"/>
    <w:rsid w:val="008F29A9"/>
    <w:rsid w:val="008F34D3"/>
    <w:rsid w:val="008F43A0"/>
    <w:rsid w:val="008F4702"/>
    <w:rsid w:val="008F5DDE"/>
    <w:rsid w:val="008F5F55"/>
    <w:rsid w:val="008F66A7"/>
    <w:rsid w:val="008F688C"/>
    <w:rsid w:val="008F6A2F"/>
    <w:rsid w:val="008F6B5E"/>
    <w:rsid w:val="008F755E"/>
    <w:rsid w:val="008F79D0"/>
    <w:rsid w:val="009008B1"/>
    <w:rsid w:val="009014E6"/>
    <w:rsid w:val="00902015"/>
    <w:rsid w:val="00903531"/>
    <w:rsid w:val="00903F29"/>
    <w:rsid w:val="00904A65"/>
    <w:rsid w:val="00904DDB"/>
    <w:rsid w:val="00905793"/>
    <w:rsid w:val="00906451"/>
    <w:rsid w:val="00907263"/>
    <w:rsid w:val="0090768C"/>
    <w:rsid w:val="009123F6"/>
    <w:rsid w:val="00913E2A"/>
    <w:rsid w:val="00913F4D"/>
    <w:rsid w:val="0091468D"/>
    <w:rsid w:val="0091475E"/>
    <w:rsid w:val="00916155"/>
    <w:rsid w:val="009163B6"/>
    <w:rsid w:val="00916B61"/>
    <w:rsid w:val="00917ED2"/>
    <w:rsid w:val="00917F42"/>
    <w:rsid w:val="00920F99"/>
    <w:rsid w:val="009217A9"/>
    <w:rsid w:val="00922F1E"/>
    <w:rsid w:val="00922F29"/>
    <w:rsid w:val="009231E6"/>
    <w:rsid w:val="00924ED9"/>
    <w:rsid w:val="009274FA"/>
    <w:rsid w:val="0093042C"/>
    <w:rsid w:val="00930453"/>
    <w:rsid w:val="00931316"/>
    <w:rsid w:val="00931AD6"/>
    <w:rsid w:val="00933086"/>
    <w:rsid w:val="00934A0F"/>
    <w:rsid w:val="00937ED6"/>
    <w:rsid w:val="009406E7"/>
    <w:rsid w:val="00940B04"/>
    <w:rsid w:val="00941217"/>
    <w:rsid w:val="00942681"/>
    <w:rsid w:val="00943948"/>
    <w:rsid w:val="00944AB3"/>
    <w:rsid w:val="00946893"/>
    <w:rsid w:val="00946D10"/>
    <w:rsid w:val="00950141"/>
    <w:rsid w:val="00950840"/>
    <w:rsid w:val="00950BCE"/>
    <w:rsid w:val="00950FC7"/>
    <w:rsid w:val="00953FB3"/>
    <w:rsid w:val="0095455D"/>
    <w:rsid w:val="0095482D"/>
    <w:rsid w:val="009563AA"/>
    <w:rsid w:val="0095738C"/>
    <w:rsid w:val="00957540"/>
    <w:rsid w:val="009617F6"/>
    <w:rsid w:val="009623A4"/>
    <w:rsid w:val="00964C1A"/>
    <w:rsid w:val="0096515A"/>
    <w:rsid w:val="00965C79"/>
    <w:rsid w:val="00966601"/>
    <w:rsid w:val="00967094"/>
    <w:rsid w:val="00970079"/>
    <w:rsid w:val="009700A9"/>
    <w:rsid w:val="00970A79"/>
    <w:rsid w:val="00973C9C"/>
    <w:rsid w:val="009752BD"/>
    <w:rsid w:val="009758CF"/>
    <w:rsid w:val="009773CD"/>
    <w:rsid w:val="00981C20"/>
    <w:rsid w:val="00983BCE"/>
    <w:rsid w:val="00983DEA"/>
    <w:rsid w:val="0098672A"/>
    <w:rsid w:val="00986870"/>
    <w:rsid w:val="009875D0"/>
    <w:rsid w:val="00990141"/>
    <w:rsid w:val="00990D6F"/>
    <w:rsid w:val="0099157D"/>
    <w:rsid w:val="009920BF"/>
    <w:rsid w:val="0099378B"/>
    <w:rsid w:val="00993A67"/>
    <w:rsid w:val="00994D7F"/>
    <w:rsid w:val="009962A0"/>
    <w:rsid w:val="0099644E"/>
    <w:rsid w:val="00996F8C"/>
    <w:rsid w:val="00996FEE"/>
    <w:rsid w:val="009A0627"/>
    <w:rsid w:val="009A44CB"/>
    <w:rsid w:val="009A454D"/>
    <w:rsid w:val="009A472B"/>
    <w:rsid w:val="009A572A"/>
    <w:rsid w:val="009A5C14"/>
    <w:rsid w:val="009A7763"/>
    <w:rsid w:val="009A7B95"/>
    <w:rsid w:val="009B05E8"/>
    <w:rsid w:val="009B05F1"/>
    <w:rsid w:val="009B1165"/>
    <w:rsid w:val="009B126C"/>
    <w:rsid w:val="009B142C"/>
    <w:rsid w:val="009B2CF2"/>
    <w:rsid w:val="009B30DC"/>
    <w:rsid w:val="009B38A2"/>
    <w:rsid w:val="009B45E7"/>
    <w:rsid w:val="009B493A"/>
    <w:rsid w:val="009B4DE3"/>
    <w:rsid w:val="009B6612"/>
    <w:rsid w:val="009B6A55"/>
    <w:rsid w:val="009C0694"/>
    <w:rsid w:val="009C150B"/>
    <w:rsid w:val="009C158C"/>
    <w:rsid w:val="009C196E"/>
    <w:rsid w:val="009C3B52"/>
    <w:rsid w:val="009C3CA6"/>
    <w:rsid w:val="009C4A6F"/>
    <w:rsid w:val="009C6025"/>
    <w:rsid w:val="009C67E7"/>
    <w:rsid w:val="009C6A10"/>
    <w:rsid w:val="009C791B"/>
    <w:rsid w:val="009D0B9C"/>
    <w:rsid w:val="009D10BC"/>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08AF"/>
    <w:rsid w:val="009E1143"/>
    <w:rsid w:val="009E161E"/>
    <w:rsid w:val="009E1D60"/>
    <w:rsid w:val="009E2925"/>
    <w:rsid w:val="009E3549"/>
    <w:rsid w:val="009E409E"/>
    <w:rsid w:val="009E4AE4"/>
    <w:rsid w:val="009E6019"/>
    <w:rsid w:val="009E62C5"/>
    <w:rsid w:val="009E63C4"/>
    <w:rsid w:val="009E7131"/>
    <w:rsid w:val="009E78FC"/>
    <w:rsid w:val="009E7ADE"/>
    <w:rsid w:val="009F0065"/>
    <w:rsid w:val="009F0651"/>
    <w:rsid w:val="009F0908"/>
    <w:rsid w:val="009F1BCB"/>
    <w:rsid w:val="009F2488"/>
    <w:rsid w:val="009F421F"/>
    <w:rsid w:val="009F4370"/>
    <w:rsid w:val="009F62DB"/>
    <w:rsid w:val="009F6E81"/>
    <w:rsid w:val="009F7321"/>
    <w:rsid w:val="00A00194"/>
    <w:rsid w:val="00A02556"/>
    <w:rsid w:val="00A02BF2"/>
    <w:rsid w:val="00A031F9"/>
    <w:rsid w:val="00A039A5"/>
    <w:rsid w:val="00A058A2"/>
    <w:rsid w:val="00A05A0B"/>
    <w:rsid w:val="00A05E0C"/>
    <w:rsid w:val="00A12FE6"/>
    <w:rsid w:val="00A135CC"/>
    <w:rsid w:val="00A13DD2"/>
    <w:rsid w:val="00A14944"/>
    <w:rsid w:val="00A2017E"/>
    <w:rsid w:val="00A206EC"/>
    <w:rsid w:val="00A2337E"/>
    <w:rsid w:val="00A24A28"/>
    <w:rsid w:val="00A24FA6"/>
    <w:rsid w:val="00A2547A"/>
    <w:rsid w:val="00A261BA"/>
    <w:rsid w:val="00A27D3C"/>
    <w:rsid w:val="00A3030B"/>
    <w:rsid w:val="00A32DAE"/>
    <w:rsid w:val="00A33C0F"/>
    <w:rsid w:val="00A3639E"/>
    <w:rsid w:val="00A3659C"/>
    <w:rsid w:val="00A40328"/>
    <w:rsid w:val="00A403A8"/>
    <w:rsid w:val="00A404B2"/>
    <w:rsid w:val="00A41901"/>
    <w:rsid w:val="00A428F3"/>
    <w:rsid w:val="00A446D4"/>
    <w:rsid w:val="00A4582E"/>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58D"/>
    <w:rsid w:val="00A63F2B"/>
    <w:rsid w:val="00A63FA3"/>
    <w:rsid w:val="00A643BD"/>
    <w:rsid w:val="00A64491"/>
    <w:rsid w:val="00A644BC"/>
    <w:rsid w:val="00A6528A"/>
    <w:rsid w:val="00A666EB"/>
    <w:rsid w:val="00A66DA4"/>
    <w:rsid w:val="00A67944"/>
    <w:rsid w:val="00A7441C"/>
    <w:rsid w:val="00A75036"/>
    <w:rsid w:val="00A7606A"/>
    <w:rsid w:val="00A7702A"/>
    <w:rsid w:val="00A80332"/>
    <w:rsid w:val="00A80D18"/>
    <w:rsid w:val="00A81274"/>
    <w:rsid w:val="00A84413"/>
    <w:rsid w:val="00A85069"/>
    <w:rsid w:val="00A851D3"/>
    <w:rsid w:val="00A85C99"/>
    <w:rsid w:val="00A86059"/>
    <w:rsid w:val="00A8682A"/>
    <w:rsid w:val="00A877EA"/>
    <w:rsid w:val="00A90434"/>
    <w:rsid w:val="00A90848"/>
    <w:rsid w:val="00A90C30"/>
    <w:rsid w:val="00A90D5D"/>
    <w:rsid w:val="00A919A8"/>
    <w:rsid w:val="00A93FBF"/>
    <w:rsid w:val="00A95E04"/>
    <w:rsid w:val="00A9702D"/>
    <w:rsid w:val="00A97794"/>
    <w:rsid w:val="00A97AED"/>
    <w:rsid w:val="00AA09CE"/>
    <w:rsid w:val="00AA109A"/>
    <w:rsid w:val="00AA184D"/>
    <w:rsid w:val="00AA216E"/>
    <w:rsid w:val="00AA3ADF"/>
    <w:rsid w:val="00AA4945"/>
    <w:rsid w:val="00AA4F18"/>
    <w:rsid w:val="00AA7490"/>
    <w:rsid w:val="00AA7DEE"/>
    <w:rsid w:val="00AA7EB9"/>
    <w:rsid w:val="00AA7FB3"/>
    <w:rsid w:val="00AB0321"/>
    <w:rsid w:val="00AB0C10"/>
    <w:rsid w:val="00AB21EA"/>
    <w:rsid w:val="00AB22C2"/>
    <w:rsid w:val="00AB29DA"/>
    <w:rsid w:val="00AB2D5C"/>
    <w:rsid w:val="00AB51C0"/>
    <w:rsid w:val="00AB538D"/>
    <w:rsid w:val="00AB6073"/>
    <w:rsid w:val="00AB67E3"/>
    <w:rsid w:val="00AB70F7"/>
    <w:rsid w:val="00AC0AB2"/>
    <w:rsid w:val="00AC12F5"/>
    <w:rsid w:val="00AC250D"/>
    <w:rsid w:val="00AC37A1"/>
    <w:rsid w:val="00AC3C5D"/>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1AA"/>
    <w:rsid w:val="00AF165B"/>
    <w:rsid w:val="00AF3257"/>
    <w:rsid w:val="00AF3D16"/>
    <w:rsid w:val="00AF3D8D"/>
    <w:rsid w:val="00AF4186"/>
    <w:rsid w:val="00B01969"/>
    <w:rsid w:val="00B04BED"/>
    <w:rsid w:val="00B06368"/>
    <w:rsid w:val="00B0750E"/>
    <w:rsid w:val="00B0771E"/>
    <w:rsid w:val="00B10470"/>
    <w:rsid w:val="00B10AEC"/>
    <w:rsid w:val="00B11217"/>
    <w:rsid w:val="00B12515"/>
    <w:rsid w:val="00B1525D"/>
    <w:rsid w:val="00B15C55"/>
    <w:rsid w:val="00B16963"/>
    <w:rsid w:val="00B2044E"/>
    <w:rsid w:val="00B21902"/>
    <w:rsid w:val="00B232D8"/>
    <w:rsid w:val="00B234B3"/>
    <w:rsid w:val="00B24E70"/>
    <w:rsid w:val="00B24FA2"/>
    <w:rsid w:val="00B304AF"/>
    <w:rsid w:val="00B30678"/>
    <w:rsid w:val="00B30BB7"/>
    <w:rsid w:val="00B320FF"/>
    <w:rsid w:val="00B32B9E"/>
    <w:rsid w:val="00B32FB1"/>
    <w:rsid w:val="00B35AFE"/>
    <w:rsid w:val="00B372E0"/>
    <w:rsid w:val="00B40329"/>
    <w:rsid w:val="00B40B8D"/>
    <w:rsid w:val="00B40C88"/>
    <w:rsid w:val="00B4103B"/>
    <w:rsid w:val="00B41973"/>
    <w:rsid w:val="00B42C23"/>
    <w:rsid w:val="00B432A2"/>
    <w:rsid w:val="00B45440"/>
    <w:rsid w:val="00B45C36"/>
    <w:rsid w:val="00B5466A"/>
    <w:rsid w:val="00B546E5"/>
    <w:rsid w:val="00B54E07"/>
    <w:rsid w:val="00B565C8"/>
    <w:rsid w:val="00B57F78"/>
    <w:rsid w:val="00B62F9E"/>
    <w:rsid w:val="00B66641"/>
    <w:rsid w:val="00B67EAB"/>
    <w:rsid w:val="00B67ED0"/>
    <w:rsid w:val="00B70E53"/>
    <w:rsid w:val="00B71451"/>
    <w:rsid w:val="00B74278"/>
    <w:rsid w:val="00B74705"/>
    <w:rsid w:val="00B74730"/>
    <w:rsid w:val="00B75149"/>
    <w:rsid w:val="00B75C22"/>
    <w:rsid w:val="00B803D6"/>
    <w:rsid w:val="00B83257"/>
    <w:rsid w:val="00B90291"/>
    <w:rsid w:val="00B903E3"/>
    <w:rsid w:val="00B90D14"/>
    <w:rsid w:val="00B911C2"/>
    <w:rsid w:val="00B91DF8"/>
    <w:rsid w:val="00B92A03"/>
    <w:rsid w:val="00B92ABE"/>
    <w:rsid w:val="00B92C72"/>
    <w:rsid w:val="00B9302A"/>
    <w:rsid w:val="00B93396"/>
    <w:rsid w:val="00B93CEE"/>
    <w:rsid w:val="00B9459E"/>
    <w:rsid w:val="00B94B20"/>
    <w:rsid w:val="00B95300"/>
    <w:rsid w:val="00B9543E"/>
    <w:rsid w:val="00B9594C"/>
    <w:rsid w:val="00B96F03"/>
    <w:rsid w:val="00B9734C"/>
    <w:rsid w:val="00BA0B05"/>
    <w:rsid w:val="00BA1C6F"/>
    <w:rsid w:val="00BA207D"/>
    <w:rsid w:val="00BA314C"/>
    <w:rsid w:val="00BA4235"/>
    <w:rsid w:val="00BA6C1F"/>
    <w:rsid w:val="00BB1E94"/>
    <w:rsid w:val="00BB4172"/>
    <w:rsid w:val="00BB57F4"/>
    <w:rsid w:val="00BB64DA"/>
    <w:rsid w:val="00BB66E4"/>
    <w:rsid w:val="00BB7712"/>
    <w:rsid w:val="00BC177D"/>
    <w:rsid w:val="00BC1A41"/>
    <w:rsid w:val="00BC2114"/>
    <w:rsid w:val="00BC2908"/>
    <w:rsid w:val="00BC3FC3"/>
    <w:rsid w:val="00BC5224"/>
    <w:rsid w:val="00BC6BAB"/>
    <w:rsid w:val="00BC6FDF"/>
    <w:rsid w:val="00BC7AE4"/>
    <w:rsid w:val="00BC7D79"/>
    <w:rsid w:val="00BD02DD"/>
    <w:rsid w:val="00BD09E2"/>
    <w:rsid w:val="00BD196C"/>
    <w:rsid w:val="00BD2E62"/>
    <w:rsid w:val="00BD4327"/>
    <w:rsid w:val="00BD4484"/>
    <w:rsid w:val="00BD4A4B"/>
    <w:rsid w:val="00BD4C27"/>
    <w:rsid w:val="00BD6E92"/>
    <w:rsid w:val="00BE0F25"/>
    <w:rsid w:val="00BE127D"/>
    <w:rsid w:val="00BE13DB"/>
    <w:rsid w:val="00BE274E"/>
    <w:rsid w:val="00BE336C"/>
    <w:rsid w:val="00BE3ADC"/>
    <w:rsid w:val="00BE445D"/>
    <w:rsid w:val="00BE4D2C"/>
    <w:rsid w:val="00BE7F6B"/>
    <w:rsid w:val="00BF0382"/>
    <w:rsid w:val="00BF082E"/>
    <w:rsid w:val="00BF1E0A"/>
    <w:rsid w:val="00BF27E9"/>
    <w:rsid w:val="00BF2A73"/>
    <w:rsid w:val="00BF38FD"/>
    <w:rsid w:val="00BF3947"/>
    <w:rsid w:val="00BF5B30"/>
    <w:rsid w:val="00BF5C4C"/>
    <w:rsid w:val="00BF6F76"/>
    <w:rsid w:val="00C02978"/>
    <w:rsid w:val="00C034A9"/>
    <w:rsid w:val="00C03859"/>
    <w:rsid w:val="00C043E8"/>
    <w:rsid w:val="00C05E01"/>
    <w:rsid w:val="00C05E42"/>
    <w:rsid w:val="00C063F1"/>
    <w:rsid w:val="00C078BD"/>
    <w:rsid w:val="00C07CD2"/>
    <w:rsid w:val="00C11973"/>
    <w:rsid w:val="00C11A47"/>
    <w:rsid w:val="00C12098"/>
    <w:rsid w:val="00C13805"/>
    <w:rsid w:val="00C15CA6"/>
    <w:rsid w:val="00C16807"/>
    <w:rsid w:val="00C2025F"/>
    <w:rsid w:val="00C21021"/>
    <w:rsid w:val="00C2167D"/>
    <w:rsid w:val="00C21BCC"/>
    <w:rsid w:val="00C2403A"/>
    <w:rsid w:val="00C240EF"/>
    <w:rsid w:val="00C24CC2"/>
    <w:rsid w:val="00C266D3"/>
    <w:rsid w:val="00C266DA"/>
    <w:rsid w:val="00C26FE9"/>
    <w:rsid w:val="00C27D03"/>
    <w:rsid w:val="00C304DA"/>
    <w:rsid w:val="00C31095"/>
    <w:rsid w:val="00C32321"/>
    <w:rsid w:val="00C3296F"/>
    <w:rsid w:val="00C341D8"/>
    <w:rsid w:val="00C349F0"/>
    <w:rsid w:val="00C34A1E"/>
    <w:rsid w:val="00C3720B"/>
    <w:rsid w:val="00C374F8"/>
    <w:rsid w:val="00C37781"/>
    <w:rsid w:val="00C41423"/>
    <w:rsid w:val="00C4334F"/>
    <w:rsid w:val="00C4434A"/>
    <w:rsid w:val="00C4485D"/>
    <w:rsid w:val="00C44974"/>
    <w:rsid w:val="00C44E9E"/>
    <w:rsid w:val="00C46098"/>
    <w:rsid w:val="00C46439"/>
    <w:rsid w:val="00C465CE"/>
    <w:rsid w:val="00C46A90"/>
    <w:rsid w:val="00C46B32"/>
    <w:rsid w:val="00C47A26"/>
    <w:rsid w:val="00C50E1F"/>
    <w:rsid w:val="00C516EC"/>
    <w:rsid w:val="00C517FD"/>
    <w:rsid w:val="00C53DC9"/>
    <w:rsid w:val="00C55A0A"/>
    <w:rsid w:val="00C571A9"/>
    <w:rsid w:val="00C61083"/>
    <w:rsid w:val="00C615A7"/>
    <w:rsid w:val="00C616BF"/>
    <w:rsid w:val="00C62C5D"/>
    <w:rsid w:val="00C646CF"/>
    <w:rsid w:val="00C64873"/>
    <w:rsid w:val="00C65A0A"/>
    <w:rsid w:val="00C65D1C"/>
    <w:rsid w:val="00C66628"/>
    <w:rsid w:val="00C67FAD"/>
    <w:rsid w:val="00C7004C"/>
    <w:rsid w:val="00C711C5"/>
    <w:rsid w:val="00C7335C"/>
    <w:rsid w:val="00C73C13"/>
    <w:rsid w:val="00C7422F"/>
    <w:rsid w:val="00C74528"/>
    <w:rsid w:val="00C74812"/>
    <w:rsid w:val="00C751BF"/>
    <w:rsid w:val="00C75AEB"/>
    <w:rsid w:val="00C762F7"/>
    <w:rsid w:val="00C7651A"/>
    <w:rsid w:val="00C77280"/>
    <w:rsid w:val="00C77C83"/>
    <w:rsid w:val="00C812AA"/>
    <w:rsid w:val="00C817E6"/>
    <w:rsid w:val="00C81AD1"/>
    <w:rsid w:val="00C82138"/>
    <w:rsid w:val="00C82CB6"/>
    <w:rsid w:val="00C83111"/>
    <w:rsid w:val="00C84265"/>
    <w:rsid w:val="00C84ED5"/>
    <w:rsid w:val="00C858DB"/>
    <w:rsid w:val="00C9070B"/>
    <w:rsid w:val="00C909ED"/>
    <w:rsid w:val="00C94791"/>
    <w:rsid w:val="00C95057"/>
    <w:rsid w:val="00C95700"/>
    <w:rsid w:val="00C96465"/>
    <w:rsid w:val="00C96D0A"/>
    <w:rsid w:val="00CA001B"/>
    <w:rsid w:val="00CA01AD"/>
    <w:rsid w:val="00CA061E"/>
    <w:rsid w:val="00CA1130"/>
    <w:rsid w:val="00CA2625"/>
    <w:rsid w:val="00CA3024"/>
    <w:rsid w:val="00CA3E46"/>
    <w:rsid w:val="00CA434D"/>
    <w:rsid w:val="00CA5458"/>
    <w:rsid w:val="00CA5475"/>
    <w:rsid w:val="00CA5DE4"/>
    <w:rsid w:val="00CA5E21"/>
    <w:rsid w:val="00CA6474"/>
    <w:rsid w:val="00CA6B9A"/>
    <w:rsid w:val="00CA6FE3"/>
    <w:rsid w:val="00CA7B7F"/>
    <w:rsid w:val="00CB0C96"/>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AAD"/>
    <w:rsid w:val="00CD7F31"/>
    <w:rsid w:val="00CE21A4"/>
    <w:rsid w:val="00CE275F"/>
    <w:rsid w:val="00CE325F"/>
    <w:rsid w:val="00CE3521"/>
    <w:rsid w:val="00CE3A2A"/>
    <w:rsid w:val="00CE5723"/>
    <w:rsid w:val="00CE63AA"/>
    <w:rsid w:val="00CE6DB3"/>
    <w:rsid w:val="00CF1168"/>
    <w:rsid w:val="00CF1C88"/>
    <w:rsid w:val="00CF3020"/>
    <w:rsid w:val="00CF3034"/>
    <w:rsid w:val="00CF3608"/>
    <w:rsid w:val="00CF3FC7"/>
    <w:rsid w:val="00CF5493"/>
    <w:rsid w:val="00CF5603"/>
    <w:rsid w:val="00CF67D8"/>
    <w:rsid w:val="00CF694E"/>
    <w:rsid w:val="00CF6B80"/>
    <w:rsid w:val="00CF6BF4"/>
    <w:rsid w:val="00CF7DE9"/>
    <w:rsid w:val="00D01398"/>
    <w:rsid w:val="00D0189D"/>
    <w:rsid w:val="00D02427"/>
    <w:rsid w:val="00D0403A"/>
    <w:rsid w:val="00D04528"/>
    <w:rsid w:val="00D050BA"/>
    <w:rsid w:val="00D05E32"/>
    <w:rsid w:val="00D06FC6"/>
    <w:rsid w:val="00D11CE7"/>
    <w:rsid w:val="00D12281"/>
    <w:rsid w:val="00D12A9E"/>
    <w:rsid w:val="00D14D03"/>
    <w:rsid w:val="00D15813"/>
    <w:rsid w:val="00D176D6"/>
    <w:rsid w:val="00D21F17"/>
    <w:rsid w:val="00D225A9"/>
    <w:rsid w:val="00D231C5"/>
    <w:rsid w:val="00D2772F"/>
    <w:rsid w:val="00D3079F"/>
    <w:rsid w:val="00D30C5E"/>
    <w:rsid w:val="00D3100A"/>
    <w:rsid w:val="00D312EB"/>
    <w:rsid w:val="00D332A8"/>
    <w:rsid w:val="00D3348F"/>
    <w:rsid w:val="00D3413F"/>
    <w:rsid w:val="00D3483B"/>
    <w:rsid w:val="00D3497A"/>
    <w:rsid w:val="00D35343"/>
    <w:rsid w:val="00D36A2A"/>
    <w:rsid w:val="00D373B0"/>
    <w:rsid w:val="00D4142C"/>
    <w:rsid w:val="00D4229B"/>
    <w:rsid w:val="00D4309A"/>
    <w:rsid w:val="00D446B4"/>
    <w:rsid w:val="00D45C32"/>
    <w:rsid w:val="00D462AD"/>
    <w:rsid w:val="00D46FF7"/>
    <w:rsid w:val="00D47431"/>
    <w:rsid w:val="00D47961"/>
    <w:rsid w:val="00D47AD5"/>
    <w:rsid w:val="00D518C3"/>
    <w:rsid w:val="00D51C09"/>
    <w:rsid w:val="00D51D3D"/>
    <w:rsid w:val="00D532C6"/>
    <w:rsid w:val="00D53F25"/>
    <w:rsid w:val="00D5426B"/>
    <w:rsid w:val="00D55010"/>
    <w:rsid w:val="00D5599A"/>
    <w:rsid w:val="00D55B21"/>
    <w:rsid w:val="00D569AD"/>
    <w:rsid w:val="00D57FB7"/>
    <w:rsid w:val="00D605E5"/>
    <w:rsid w:val="00D6268B"/>
    <w:rsid w:val="00D62A8B"/>
    <w:rsid w:val="00D6388B"/>
    <w:rsid w:val="00D65D14"/>
    <w:rsid w:val="00D663BB"/>
    <w:rsid w:val="00D664C7"/>
    <w:rsid w:val="00D71595"/>
    <w:rsid w:val="00D71B33"/>
    <w:rsid w:val="00D740F4"/>
    <w:rsid w:val="00D75900"/>
    <w:rsid w:val="00D802FD"/>
    <w:rsid w:val="00D814B5"/>
    <w:rsid w:val="00D869C5"/>
    <w:rsid w:val="00D86B41"/>
    <w:rsid w:val="00D871E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A7BCE"/>
    <w:rsid w:val="00DB0BBC"/>
    <w:rsid w:val="00DB191E"/>
    <w:rsid w:val="00DB5704"/>
    <w:rsid w:val="00DB6664"/>
    <w:rsid w:val="00DB73FB"/>
    <w:rsid w:val="00DB77E6"/>
    <w:rsid w:val="00DB7CD4"/>
    <w:rsid w:val="00DC02BF"/>
    <w:rsid w:val="00DC0DBE"/>
    <w:rsid w:val="00DC3423"/>
    <w:rsid w:val="00DC429D"/>
    <w:rsid w:val="00DC456A"/>
    <w:rsid w:val="00DC497E"/>
    <w:rsid w:val="00DC6E17"/>
    <w:rsid w:val="00DC6F8F"/>
    <w:rsid w:val="00DC7C69"/>
    <w:rsid w:val="00DD26B7"/>
    <w:rsid w:val="00DD35D4"/>
    <w:rsid w:val="00DD4CFC"/>
    <w:rsid w:val="00DD4DCA"/>
    <w:rsid w:val="00DD5CCB"/>
    <w:rsid w:val="00DD6003"/>
    <w:rsid w:val="00DD7B1D"/>
    <w:rsid w:val="00DE1A4C"/>
    <w:rsid w:val="00DE285A"/>
    <w:rsid w:val="00DE2F3F"/>
    <w:rsid w:val="00DE3645"/>
    <w:rsid w:val="00DE378A"/>
    <w:rsid w:val="00DE3973"/>
    <w:rsid w:val="00DE3B25"/>
    <w:rsid w:val="00DE4C19"/>
    <w:rsid w:val="00DE5417"/>
    <w:rsid w:val="00DE5630"/>
    <w:rsid w:val="00DE7227"/>
    <w:rsid w:val="00DE76FC"/>
    <w:rsid w:val="00DF2891"/>
    <w:rsid w:val="00DF355A"/>
    <w:rsid w:val="00DF3789"/>
    <w:rsid w:val="00DF3F22"/>
    <w:rsid w:val="00DF4BAB"/>
    <w:rsid w:val="00DF5D14"/>
    <w:rsid w:val="00DF608E"/>
    <w:rsid w:val="00DF6CC5"/>
    <w:rsid w:val="00DF6FF1"/>
    <w:rsid w:val="00DF7376"/>
    <w:rsid w:val="00DF76E0"/>
    <w:rsid w:val="00E007FD"/>
    <w:rsid w:val="00E015A9"/>
    <w:rsid w:val="00E01B45"/>
    <w:rsid w:val="00E02883"/>
    <w:rsid w:val="00E03C14"/>
    <w:rsid w:val="00E04029"/>
    <w:rsid w:val="00E05FD7"/>
    <w:rsid w:val="00E0744B"/>
    <w:rsid w:val="00E07667"/>
    <w:rsid w:val="00E07D23"/>
    <w:rsid w:val="00E07E8B"/>
    <w:rsid w:val="00E10861"/>
    <w:rsid w:val="00E10DB8"/>
    <w:rsid w:val="00E120BC"/>
    <w:rsid w:val="00E1258C"/>
    <w:rsid w:val="00E12B4E"/>
    <w:rsid w:val="00E1376C"/>
    <w:rsid w:val="00E15635"/>
    <w:rsid w:val="00E16BEE"/>
    <w:rsid w:val="00E2103E"/>
    <w:rsid w:val="00E21B02"/>
    <w:rsid w:val="00E23869"/>
    <w:rsid w:val="00E26156"/>
    <w:rsid w:val="00E266C9"/>
    <w:rsid w:val="00E27323"/>
    <w:rsid w:val="00E27FA3"/>
    <w:rsid w:val="00E302DF"/>
    <w:rsid w:val="00E3099D"/>
    <w:rsid w:val="00E333FB"/>
    <w:rsid w:val="00E3345C"/>
    <w:rsid w:val="00E35515"/>
    <w:rsid w:val="00E36F7B"/>
    <w:rsid w:val="00E37BE6"/>
    <w:rsid w:val="00E37FE7"/>
    <w:rsid w:val="00E40778"/>
    <w:rsid w:val="00E40F77"/>
    <w:rsid w:val="00E41BCE"/>
    <w:rsid w:val="00E41FE9"/>
    <w:rsid w:val="00E4501A"/>
    <w:rsid w:val="00E4586E"/>
    <w:rsid w:val="00E46051"/>
    <w:rsid w:val="00E46187"/>
    <w:rsid w:val="00E46AD3"/>
    <w:rsid w:val="00E46BFA"/>
    <w:rsid w:val="00E477BE"/>
    <w:rsid w:val="00E47B62"/>
    <w:rsid w:val="00E513F5"/>
    <w:rsid w:val="00E51517"/>
    <w:rsid w:val="00E51AFF"/>
    <w:rsid w:val="00E51F74"/>
    <w:rsid w:val="00E52088"/>
    <w:rsid w:val="00E54533"/>
    <w:rsid w:val="00E55868"/>
    <w:rsid w:val="00E55FE6"/>
    <w:rsid w:val="00E60C14"/>
    <w:rsid w:val="00E61815"/>
    <w:rsid w:val="00E620C7"/>
    <w:rsid w:val="00E653B8"/>
    <w:rsid w:val="00E65D86"/>
    <w:rsid w:val="00E66967"/>
    <w:rsid w:val="00E67E1C"/>
    <w:rsid w:val="00E70E2A"/>
    <w:rsid w:val="00E72C1A"/>
    <w:rsid w:val="00E74BBE"/>
    <w:rsid w:val="00E763CD"/>
    <w:rsid w:val="00E76A0F"/>
    <w:rsid w:val="00E7711B"/>
    <w:rsid w:val="00E80DB0"/>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96ECE"/>
    <w:rsid w:val="00EA1038"/>
    <w:rsid w:val="00EA1BF3"/>
    <w:rsid w:val="00EA28C6"/>
    <w:rsid w:val="00EA38D5"/>
    <w:rsid w:val="00EA4363"/>
    <w:rsid w:val="00EA5409"/>
    <w:rsid w:val="00EA5F10"/>
    <w:rsid w:val="00EA5F30"/>
    <w:rsid w:val="00EA6F59"/>
    <w:rsid w:val="00EA789A"/>
    <w:rsid w:val="00EB0F10"/>
    <w:rsid w:val="00EB19DF"/>
    <w:rsid w:val="00EB219C"/>
    <w:rsid w:val="00EB321E"/>
    <w:rsid w:val="00EB6374"/>
    <w:rsid w:val="00EB64FC"/>
    <w:rsid w:val="00EB7B3E"/>
    <w:rsid w:val="00EC0FC7"/>
    <w:rsid w:val="00EC2B16"/>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3F33"/>
    <w:rsid w:val="00EE60DB"/>
    <w:rsid w:val="00EE7E38"/>
    <w:rsid w:val="00EE7EEA"/>
    <w:rsid w:val="00EF0576"/>
    <w:rsid w:val="00EF1D7E"/>
    <w:rsid w:val="00EF39FC"/>
    <w:rsid w:val="00EF4C2D"/>
    <w:rsid w:val="00EF4CEE"/>
    <w:rsid w:val="00EF5638"/>
    <w:rsid w:val="00EF6801"/>
    <w:rsid w:val="00EF7F09"/>
    <w:rsid w:val="00F0006B"/>
    <w:rsid w:val="00F016CA"/>
    <w:rsid w:val="00F01E4F"/>
    <w:rsid w:val="00F04143"/>
    <w:rsid w:val="00F0482C"/>
    <w:rsid w:val="00F0740D"/>
    <w:rsid w:val="00F07750"/>
    <w:rsid w:val="00F07780"/>
    <w:rsid w:val="00F106C0"/>
    <w:rsid w:val="00F10988"/>
    <w:rsid w:val="00F12073"/>
    <w:rsid w:val="00F12149"/>
    <w:rsid w:val="00F1227F"/>
    <w:rsid w:val="00F13587"/>
    <w:rsid w:val="00F13EAC"/>
    <w:rsid w:val="00F16387"/>
    <w:rsid w:val="00F203C7"/>
    <w:rsid w:val="00F20A07"/>
    <w:rsid w:val="00F210E0"/>
    <w:rsid w:val="00F21646"/>
    <w:rsid w:val="00F21917"/>
    <w:rsid w:val="00F27A4B"/>
    <w:rsid w:val="00F27BB1"/>
    <w:rsid w:val="00F32B0E"/>
    <w:rsid w:val="00F33DC4"/>
    <w:rsid w:val="00F356DB"/>
    <w:rsid w:val="00F35946"/>
    <w:rsid w:val="00F359C0"/>
    <w:rsid w:val="00F37DBE"/>
    <w:rsid w:val="00F401F9"/>
    <w:rsid w:val="00F41F6A"/>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1D14"/>
    <w:rsid w:val="00F64C96"/>
    <w:rsid w:val="00F6631F"/>
    <w:rsid w:val="00F70E60"/>
    <w:rsid w:val="00F72112"/>
    <w:rsid w:val="00F723D6"/>
    <w:rsid w:val="00F724AB"/>
    <w:rsid w:val="00F75E3A"/>
    <w:rsid w:val="00F7612F"/>
    <w:rsid w:val="00F77E87"/>
    <w:rsid w:val="00F806A9"/>
    <w:rsid w:val="00F81620"/>
    <w:rsid w:val="00F81EA3"/>
    <w:rsid w:val="00F8217F"/>
    <w:rsid w:val="00F82DDD"/>
    <w:rsid w:val="00F83113"/>
    <w:rsid w:val="00F83C22"/>
    <w:rsid w:val="00F84521"/>
    <w:rsid w:val="00F8510F"/>
    <w:rsid w:val="00F87451"/>
    <w:rsid w:val="00F906AB"/>
    <w:rsid w:val="00F91766"/>
    <w:rsid w:val="00F91A6E"/>
    <w:rsid w:val="00F91E7B"/>
    <w:rsid w:val="00F91F3D"/>
    <w:rsid w:val="00F94EE2"/>
    <w:rsid w:val="00F9684B"/>
    <w:rsid w:val="00F96B7D"/>
    <w:rsid w:val="00F97412"/>
    <w:rsid w:val="00FA0537"/>
    <w:rsid w:val="00FA1A05"/>
    <w:rsid w:val="00FA25EA"/>
    <w:rsid w:val="00FA2AC8"/>
    <w:rsid w:val="00FA2ECA"/>
    <w:rsid w:val="00FA2FA8"/>
    <w:rsid w:val="00FA4875"/>
    <w:rsid w:val="00FA65E5"/>
    <w:rsid w:val="00FA6A63"/>
    <w:rsid w:val="00FA6D1C"/>
    <w:rsid w:val="00FB1348"/>
    <w:rsid w:val="00FB1EA0"/>
    <w:rsid w:val="00FB2144"/>
    <w:rsid w:val="00FB22F2"/>
    <w:rsid w:val="00FB2DA4"/>
    <w:rsid w:val="00FB31E9"/>
    <w:rsid w:val="00FB45C2"/>
    <w:rsid w:val="00FB6808"/>
    <w:rsid w:val="00FB6B51"/>
    <w:rsid w:val="00FC2786"/>
    <w:rsid w:val="00FC36CB"/>
    <w:rsid w:val="00FC3779"/>
    <w:rsid w:val="00FC400D"/>
    <w:rsid w:val="00FC58AA"/>
    <w:rsid w:val="00FC6BB3"/>
    <w:rsid w:val="00FC77DD"/>
    <w:rsid w:val="00FC7979"/>
    <w:rsid w:val="00FC7CE2"/>
    <w:rsid w:val="00FD1134"/>
    <w:rsid w:val="00FD1489"/>
    <w:rsid w:val="00FD15A5"/>
    <w:rsid w:val="00FD2169"/>
    <w:rsid w:val="00FD24D9"/>
    <w:rsid w:val="00FD2B4A"/>
    <w:rsid w:val="00FD43CA"/>
    <w:rsid w:val="00FD57BD"/>
    <w:rsid w:val="00FD7C6C"/>
    <w:rsid w:val="00FE13C6"/>
    <w:rsid w:val="00FE23C6"/>
    <w:rsid w:val="00FE2E5D"/>
    <w:rsid w:val="00FE54A8"/>
    <w:rsid w:val="00FE6741"/>
    <w:rsid w:val="00FE6B1A"/>
    <w:rsid w:val="00FF06F9"/>
    <w:rsid w:val="00FF0FB4"/>
    <w:rsid w:val="00FF12B9"/>
    <w:rsid w:val="00FF1A88"/>
    <w:rsid w:val="00FF2B2A"/>
    <w:rsid w:val="00FF2B97"/>
    <w:rsid w:val="00FF3080"/>
    <w:rsid w:val="00FF45AE"/>
    <w:rsid w:val="00FF4BB6"/>
    <w:rsid w:val="00FF4EE6"/>
    <w:rsid w:val="00FF4F62"/>
    <w:rsid w:val="00FF529B"/>
    <w:rsid w:val="00FF5907"/>
    <w:rsid w:val="00FF683E"/>
    <w:rsid w:val="01045CFF"/>
    <w:rsid w:val="0150135E"/>
    <w:rsid w:val="0190526E"/>
    <w:rsid w:val="023A1FF5"/>
    <w:rsid w:val="025A02B6"/>
    <w:rsid w:val="025E4D25"/>
    <w:rsid w:val="027A73B5"/>
    <w:rsid w:val="028343D0"/>
    <w:rsid w:val="0288177F"/>
    <w:rsid w:val="029B17FC"/>
    <w:rsid w:val="02A15D87"/>
    <w:rsid w:val="02FB417E"/>
    <w:rsid w:val="030D2FAB"/>
    <w:rsid w:val="0334100A"/>
    <w:rsid w:val="035F73AA"/>
    <w:rsid w:val="03711A59"/>
    <w:rsid w:val="03731CB9"/>
    <w:rsid w:val="037A3B16"/>
    <w:rsid w:val="03A104E6"/>
    <w:rsid w:val="03B42B71"/>
    <w:rsid w:val="03B73E9A"/>
    <w:rsid w:val="03C22167"/>
    <w:rsid w:val="03F14378"/>
    <w:rsid w:val="03FF6FC0"/>
    <w:rsid w:val="0403683C"/>
    <w:rsid w:val="04411D8D"/>
    <w:rsid w:val="050E44F0"/>
    <w:rsid w:val="05381C61"/>
    <w:rsid w:val="05511D29"/>
    <w:rsid w:val="0557041D"/>
    <w:rsid w:val="05843056"/>
    <w:rsid w:val="058575CC"/>
    <w:rsid w:val="05C03395"/>
    <w:rsid w:val="065C7D56"/>
    <w:rsid w:val="0695479F"/>
    <w:rsid w:val="06D60A98"/>
    <w:rsid w:val="073052D8"/>
    <w:rsid w:val="074C498D"/>
    <w:rsid w:val="076570F1"/>
    <w:rsid w:val="077971D9"/>
    <w:rsid w:val="078238CE"/>
    <w:rsid w:val="07860DB4"/>
    <w:rsid w:val="07AB29B2"/>
    <w:rsid w:val="07DB627D"/>
    <w:rsid w:val="089044AC"/>
    <w:rsid w:val="08933E94"/>
    <w:rsid w:val="09180293"/>
    <w:rsid w:val="09323AEF"/>
    <w:rsid w:val="0990310B"/>
    <w:rsid w:val="09C675B2"/>
    <w:rsid w:val="09D646AA"/>
    <w:rsid w:val="09E73BCC"/>
    <w:rsid w:val="09FC0971"/>
    <w:rsid w:val="0A297FB1"/>
    <w:rsid w:val="0A7B6F51"/>
    <w:rsid w:val="0A7F32A8"/>
    <w:rsid w:val="0AA85E1C"/>
    <w:rsid w:val="0AB17F0C"/>
    <w:rsid w:val="0ACF291B"/>
    <w:rsid w:val="0ADD6C01"/>
    <w:rsid w:val="0AFF02E7"/>
    <w:rsid w:val="0B00728D"/>
    <w:rsid w:val="0B8C211C"/>
    <w:rsid w:val="0B904603"/>
    <w:rsid w:val="0BAB0910"/>
    <w:rsid w:val="0BAE1CF4"/>
    <w:rsid w:val="0BD73DCF"/>
    <w:rsid w:val="0CEB2260"/>
    <w:rsid w:val="0CFB5DD9"/>
    <w:rsid w:val="0D1D038B"/>
    <w:rsid w:val="0D3D648A"/>
    <w:rsid w:val="0D646A50"/>
    <w:rsid w:val="0DCC6805"/>
    <w:rsid w:val="0DE44B6B"/>
    <w:rsid w:val="0E034750"/>
    <w:rsid w:val="0E1D3671"/>
    <w:rsid w:val="0E1F5AA9"/>
    <w:rsid w:val="0E7F48B6"/>
    <w:rsid w:val="0EA15194"/>
    <w:rsid w:val="0EDA34AE"/>
    <w:rsid w:val="0EE34411"/>
    <w:rsid w:val="0F15690E"/>
    <w:rsid w:val="0F1C2685"/>
    <w:rsid w:val="0F224DB7"/>
    <w:rsid w:val="0F7D4810"/>
    <w:rsid w:val="10050FDE"/>
    <w:rsid w:val="102E349A"/>
    <w:rsid w:val="10431260"/>
    <w:rsid w:val="1089100A"/>
    <w:rsid w:val="10D46F57"/>
    <w:rsid w:val="10DD3782"/>
    <w:rsid w:val="10E55ACF"/>
    <w:rsid w:val="113B24E1"/>
    <w:rsid w:val="116619E1"/>
    <w:rsid w:val="11832AAA"/>
    <w:rsid w:val="11844FD0"/>
    <w:rsid w:val="11F109C9"/>
    <w:rsid w:val="11FB69F8"/>
    <w:rsid w:val="128F183A"/>
    <w:rsid w:val="12A14FFC"/>
    <w:rsid w:val="12CF6217"/>
    <w:rsid w:val="12E01AC3"/>
    <w:rsid w:val="130F7BED"/>
    <w:rsid w:val="131618B8"/>
    <w:rsid w:val="132D0579"/>
    <w:rsid w:val="13976F5D"/>
    <w:rsid w:val="13A36FCE"/>
    <w:rsid w:val="13C0621A"/>
    <w:rsid w:val="14557DC5"/>
    <w:rsid w:val="14797E5E"/>
    <w:rsid w:val="149A6199"/>
    <w:rsid w:val="14B65467"/>
    <w:rsid w:val="157417DC"/>
    <w:rsid w:val="15A4742F"/>
    <w:rsid w:val="15C20DD1"/>
    <w:rsid w:val="15CA5247"/>
    <w:rsid w:val="15E84376"/>
    <w:rsid w:val="1631098C"/>
    <w:rsid w:val="1643712F"/>
    <w:rsid w:val="166D0E4A"/>
    <w:rsid w:val="16AF2F70"/>
    <w:rsid w:val="16BE319E"/>
    <w:rsid w:val="16E64AC4"/>
    <w:rsid w:val="16FE1795"/>
    <w:rsid w:val="171F0130"/>
    <w:rsid w:val="1727747B"/>
    <w:rsid w:val="175626A7"/>
    <w:rsid w:val="176F6C94"/>
    <w:rsid w:val="179E4EFF"/>
    <w:rsid w:val="18043521"/>
    <w:rsid w:val="180D2B3E"/>
    <w:rsid w:val="18207004"/>
    <w:rsid w:val="185C461C"/>
    <w:rsid w:val="18736112"/>
    <w:rsid w:val="188B7DC8"/>
    <w:rsid w:val="188D0B43"/>
    <w:rsid w:val="192C237F"/>
    <w:rsid w:val="19342AED"/>
    <w:rsid w:val="194E6C53"/>
    <w:rsid w:val="19612E3E"/>
    <w:rsid w:val="19BC52DA"/>
    <w:rsid w:val="19BF34F4"/>
    <w:rsid w:val="1AB8095D"/>
    <w:rsid w:val="1AC544B8"/>
    <w:rsid w:val="1AE71FB3"/>
    <w:rsid w:val="1AFA146B"/>
    <w:rsid w:val="1B113785"/>
    <w:rsid w:val="1B4B2929"/>
    <w:rsid w:val="1B7D074D"/>
    <w:rsid w:val="1BA935A6"/>
    <w:rsid w:val="1BB150D8"/>
    <w:rsid w:val="1BD30662"/>
    <w:rsid w:val="1C7146F8"/>
    <w:rsid w:val="1C7255A1"/>
    <w:rsid w:val="1C7A7B17"/>
    <w:rsid w:val="1CA0626D"/>
    <w:rsid w:val="1CAD2B3B"/>
    <w:rsid w:val="1D231173"/>
    <w:rsid w:val="1D471C26"/>
    <w:rsid w:val="1D544537"/>
    <w:rsid w:val="1D703102"/>
    <w:rsid w:val="1D754F0A"/>
    <w:rsid w:val="1DBD45C6"/>
    <w:rsid w:val="1DBD74CD"/>
    <w:rsid w:val="1DC73417"/>
    <w:rsid w:val="1E0A52DD"/>
    <w:rsid w:val="1E104F81"/>
    <w:rsid w:val="1E576874"/>
    <w:rsid w:val="1E8562BB"/>
    <w:rsid w:val="1EA35B1D"/>
    <w:rsid w:val="1EBC4E49"/>
    <w:rsid w:val="1EE2790E"/>
    <w:rsid w:val="1EE517F4"/>
    <w:rsid w:val="1F0269D6"/>
    <w:rsid w:val="1F8964DC"/>
    <w:rsid w:val="1FBC1268"/>
    <w:rsid w:val="1FC72134"/>
    <w:rsid w:val="1FF76AFF"/>
    <w:rsid w:val="201B0406"/>
    <w:rsid w:val="201D3CC5"/>
    <w:rsid w:val="203C2962"/>
    <w:rsid w:val="203F501E"/>
    <w:rsid w:val="204E212C"/>
    <w:rsid w:val="208918FA"/>
    <w:rsid w:val="20F31BD1"/>
    <w:rsid w:val="211321B5"/>
    <w:rsid w:val="213250A3"/>
    <w:rsid w:val="21367DC4"/>
    <w:rsid w:val="21610353"/>
    <w:rsid w:val="21794544"/>
    <w:rsid w:val="21850185"/>
    <w:rsid w:val="21BB14F5"/>
    <w:rsid w:val="21D4115A"/>
    <w:rsid w:val="21DC2DD1"/>
    <w:rsid w:val="21E640F8"/>
    <w:rsid w:val="21F94CF5"/>
    <w:rsid w:val="21FB6CB4"/>
    <w:rsid w:val="22340085"/>
    <w:rsid w:val="22635888"/>
    <w:rsid w:val="226E0741"/>
    <w:rsid w:val="2275647C"/>
    <w:rsid w:val="22931F5B"/>
    <w:rsid w:val="22E304A0"/>
    <w:rsid w:val="232A29C7"/>
    <w:rsid w:val="234642D6"/>
    <w:rsid w:val="23A65E60"/>
    <w:rsid w:val="23EC7071"/>
    <w:rsid w:val="24303DBF"/>
    <w:rsid w:val="24623EC4"/>
    <w:rsid w:val="24696F56"/>
    <w:rsid w:val="248A64BB"/>
    <w:rsid w:val="24B93906"/>
    <w:rsid w:val="24F91A9C"/>
    <w:rsid w:val="2507113F"/>
    <w:rsid w:val="253475BD"/>
    <w:rsid w:val="255326E9"/>
    <w:rsid w:val="255E09B8"/>
    <w:rsid w:val="256258D0"/>
    <w:rsid w:val="257F4569"/>
    <w:rsid w:val="25914B66"/>
    <w:rsid w:val="25A4291B"/>
    <w:rsid w:val="25E13BA3"/>
    <w:rsid w:val="26074C44"/>
    <w:rsid w:val="261774D7"/>
    <w:rsid w:val="26294C66"/>
    <w:rsid w:val="26A91801"/>
    <w:rsid w:val="26C72E54"/>
    <w:rsid w:val="26DC3176"/>
    <w:rsid w:val="26F41418"/>
    <w:rsid w:val="2720246E"/>
    <w:rsid w:val="27852000"/>
    <w:rsid w:val="28302C87"/>
    <w:rsid w:val="285D453B"/>
    <w:rsid w:val="28707BC8"/>
    <w:rsid w:val="289369A5"/>
    <w:rsid w:val="289A6B28"/>
    <w:rsid w:val="28B5686C"/>
    <w:rsid w:val="2915340E"/>
    <w:rsid w:val="294560FD"/>
    <w:rsid w:val="29981C34"/>
    <w:rsid w:val="299A6C66"/>
    <w:rsid w:val="29B9561D"/>
    <w:rsid w:val="29C00168"/>
    <w:rsid w:val="2A101AEC"/>
    <w:rsid w:val="2A347C23"/>
    <w:rsid w:val="2A4F0978"/>
    <w:rsid w:val="2A810A1D"/>
    <w:rsid w:val="2B420AE0"/>
    <w:rsid w:val="2B474549"/>
    <w:rsid w:val="2B4B5F00"/>
    <w:rsid w:val="2B4B6F72"/>
    <w:rsid w:val="2B6E16AA"/>
    <w:rsid w:val="2BB42703"/>
    <w:rsid w:val="2BC309FD"/>
    <w:rsid w:val="2BCD4D41"/>
    <w:rsid w:val="2C5C2366"/>
    <w:rsid w:val="2C6B77D5"/>
    <w:rsid w:val="2C705850"/>
    <w:rsid w:val="2C9217EA"/>
    <w:rsid w:val="2CA46CB3"/>
    <w:rsid w:val="2D4E3333"/>
    <w:rsid w:val="2DE438C9"/>
    <w:rsid w:val="2E412243"/>
    <w:rsid w:val="2E58408A"/>
    <w:rsid w:val="2E7606D7"/>
    <w:rsid w:val="2E896959"/>
    <w:rsid w:val="2EA776F9"/>
    <w:rsid w:val="2EB32938"/>
    <w:rsid w:val="2EBD43D9"/>
    <w:rsid w:val="2F2A6D0C"/>
    <w:rsid w:val="2F6F5520"/>
    <w:rsid w:val="2F80338E"/>
    <w:rsid w:val="2F9A56D9"/>
    <w:rsid w:val="2FDC55D2"/>
    <w:rsid w:val="2FF835B7"/>
    <w:rsid w:val="302F1551"/>
    <w:rsid w:val="30712C22"/>
    <w:rsid w:val="3085230A"/>
    <w:rsid w:val="30A51BBE"/>
    <w:rsid w:val="30AF43AA"/>
    <w:rsid w:val="30B07EC0"/>
    <w:rsid w:val="30DB3EB5"/>
    <w:rsid w:val="31353AB5"/>
    <w:rsid w:val="31A27D2D"/>
    <w:rsid w:val="31CF118C"/>
    <w:rsid w:val="31D2428C"/>
    <w:rsid w:val="32135324"/>
    <w:rsid w:val="32225ABD"/>
    <w:rsid w:val="32245E1C"/>
    <w:rsid w:val="32317E74"/>
    <w:rsid w:val="329307BB"/>
    <w:rsid w:val="32E23CFE"/>
    <w:rsid w:val="32F17928"/>
    <w:rsid w:val="32F60489"/>
    <w:rsid w:val="33146E3C"/>
    <w:rsid w:val="33524A5D"/>
    <w:rsid w:val="338B7C1B"/>
    <w:rsid w:val="338E70DF"/>
    <w:rsid w:val="339E29AB"/>
    <w:rsid w:val="33C46AF7"/>
    <w:rsid w:val="33D95CC8"/>
    <w:rsid w:val="341E0AFC"/>
    <w:rsid w:val="34591CB0"/>
    <w:rsid w:val="346202B8"/>
    <w:rsid w:val="347D1E21"/>
    <w:rsid w:val="34927F86"/>
    <w:rsid w:val="34E45E46"/>
    <w:rsid w:val="35093E85"/>
    <w:rsid w:val="350B311F"/>
    <w:rsid w:val="35492D73"/>
    <w:rsid w:val="357044DD"/>
    <w:rsid w:val="359811DA"/>
    <w:rsid w:val="35CF1316"/>
    <w:rsid w:val="35D51731"/>
    <w:rsid w:val="35E0399A"/>
    <w:rsid w:val="36205E5D"/>
    <w:rsid w:val="363020AB"/>
    <w:rsid w:val="36804EBA"/>
    <w:rsid w:val="36903F1E"/>
    <w:rsid w:val="36A0501A"/>
    <w:rsid w:val="36B31C26"/>
    <w:rsid w:val="3701151C"/>
    <w:rsid w:val="370137E2"/>
    <w:rsid w:val="3708207D"/>
    <w:rsid w:val="373D1AB6"/>
    <w:rsid w:val="375463DE"/>
    <w:rsid w:val="376D122B"/>
    <w:rsid w:val="37834036"/>
    <w:rsid w:val="379332F4"/>
    <w:rsid w:val="37D144CC"/>
    <w:rsid w:val="37ED38EE"/>
    <w:rsid w:val="37F702D3"/>
    <w:rsid w:val="380C2C06"/>
    <w:rsid w:val="38127AFD"/>
    <w:rsid w:val="381C01BF"/>
    <w:rsid w:val="385D6E62"/>
    <w:rsid w:val="38700E97"/>
    <w:rsid w:val="387A6293"/>
    <w:rsid w:val="388C4929"/>
    <w:rsid w:val="38B118AF"/>
    <w:rsid w:val="38B703C8"/>
    <w:rsid w:val="38C318E0"/>
    <w:rsid w:val="38E46EB4"/>
    <w:rsid w:val="38F808B4"/>
    <w:rsid w:val="391A523B"/>
    <w:rsid w:val="398B135E"/>
    <w:rsid w:val="399341E2"/>
    <w:rsid w:val="39E54081"/>
    <w:rsid w:val="3A3D42B9"/>
    <w:rsid w:val="3A6735F6"/>
    <w:rsid w:val="3AA4504E"/>
    <w:rsid w:val="3AC41BA9"/>
    <w:rsid w:val="3AF4265E"/>
    <w:rsid w:val="3B0102A6"/>
    <w:rsid w:val="3B180C89"/>
    <w:rsid w:val="3B2D6784"/>
    <w:rsid w:val="3B506EBD"/>
    <w:rsid w:val="3B64373D"/>
    <w:rsid w:val="3B8D3770"/>
    <w:rsid w:val="3C0071F6"/>
    <w:rsid w:val="3C096F24"/>
    <w:rsid w:val="3C365873"/>
    <w:rsid w:val="3C4C5FFB"/>
    <w:rsid w:val="3CE1668C"/>
    <w:rsid w:val="3D056E7A"/>
    <w:rsid w:val="3D1E515B"/>
    <w:rsid w:val="3D3306DF"/>
    <w:rsid w:val="3D5E5050"/>
    <w:rsid w:val="3D677137"/>
    <w:rsid w:val="3E047A31"/>
    <w:rsid w:val="3E1832AD"/>
    <w:rsid w:val="3E531AF3"/>
    <w:rsid w:val="3EE52A3B"/>
    <w:rsid w:val="3FBA6EFC"/>
    <w:rsid w:val="3FF543AA"/>
    <w:rsid w:val="3FF57446"/>
    <w:rsid w:val="40AB61B4"/>
    <w:rsid w:val="40B45581"/>
    <w:rsid w:val="40E966AC"/>
    <w:rsid w:val="41487234"/>
    <w:rsid w:val="416E7C7F"/>
    <w:rsid w:val="41B20847"/>
    <w:rsid w:val="41BC2488"/>
    <w:rsid w:val="41C05CFC"/>
    <w:rsid w:val="42542D70"/>
    <w:rsid w:val="4260438F"/>
    <w:rsid w:val="4275508D"/>
    <w:rsid w:val="428772D4"/>
    <w:rsid w:val="42911F1C"/>
    <w:rsid w:val="42F35C05"/>
    <w:rsid w:val="42FF2051"/>
    <w:rsid w:val="43114505"/>
    <w:rsid w:val="43194D52"/>
    <w:rsid w:val="432321D8"/>
    <w:rsid w:val="437003E8"/>
    <w:rsid w:val="43A63361"/>
    <w:rsid w:val="43E40DD9"/>
    <w:rsid w:val="442E09DE"/>
    <w:rsid w:val="444907E8"/>
    <w:rsid w:val="44621D69"/>
    <w:rsid w:val="447022A8"/>
    <w:rsid w:val="44AF0699"/>
    <w:rsid w:val="44DF4418"/>
    <w:rsid w:val="44EA5B5B"/>
    <w:rsid w:val="45236C17"/>
    <w:rsid w:val="45386E83"/>
    <w:rsid w:val="45B87ADC"/>
    <w:rsid w:val="45CE34DE"/>
    <w:rsid w:val="46064560"/>
    <w:rsid w:val="461B6BD9"/>
    <w:rsid w:val="46376CEA"/>
    <w:rsid w:val="465C2546"/>
    <w:rsid w:val="466F30A4"/>
    <w:rsid w:val="4675469F"/>
    <w:rsid w:val="46852B44"/>
    <w:rsid w:val="46CC5D2F"/>
    <w:rsid w:val="46EE6590"/>
    <w:rsid w:val="470431A3"/>
    <w:rsid w:val="47817008"/>
    <w:rsid w:val="47A14E5D"/>
    <w:rsid w:val="47A22500"/>
    <w:rsid w:val="47AC2D0C"/>
    <w:rsid w:val="47B500BE"/>
    <w:rsid w:val="47BA4469"/>
    <w:rsid w:val="482E40F6"/>
    <w:rsid w:val="486023E9"/>
    <w:rsid w:val="486F033B"/>
    <w:rsid w:val="487042D1"/>
    <w:rsid w:val="489C4765"/>
    <w:rsid w:val="48AA47C1"/>
    <w:rsid w:val="491F2D2B"/>
    <w:rsid w:val="495F3ECF"/>
    <w:rsid w:val="49B73EEF"/>
    <w:rsid w:val="49C75755"/>
    <w:rsid w:val="49C77C2F"/>
    <w:rsid w:val="4A163D44"/>
    <w:rsid w:val="4A3434EB"/>
    <w:rsid w:val="4B1B6029"/>
    <w:rsid w:val="4BD5305C"/>
    <w:rsid w:val="4C3E7814"/>
    <w:rsid w:val="4C516B5E"/>
    <w:rsid w:val="4C6D2464"/>
    <w:rsid w:val="4C7D6870"/>
    <w:rsid w:val="4C83410A"/>
    <w:rsid w:val="4CF26446"/>
    <w:rsid w:val="4D426230"/>
    <w:rsid w:val="4E570767"/>
    <w:rsid w:val="4E780FC9"/>
    <w:rsid w:val="4EBC158A"/>
    <w:rsid w:val="4ECC299F"/>
    <w:rsid w:val="4EDD57A6"/>
    <w:rsid w:val="4F0C32F9"/>
    <w:rsid w:val="4F237C7C"/>
    <w:rsid w:val="4F8E450F"/>
    <w:rsid w:val="4F8F5D30"/>
    <w:rsid w:val="4FAC6872"/>
    <w:rsid w:val="4FFE0471"/>
    <w:rsid w:val="50377CF4"/>
    <w:rsid w:val="507D1317"/>
    <w:rsid w:val="50E978D7"/>
    <w:rsid w:val="514B1157"/>
    <w:rsid w:val="5154051B"/>
    <w:rsid w:val="515B577D"/>
    <w:rsid w:val="51745185"/>
    <w:rsid w:val="51C77B8B"/>
    <w:rsid w:val="51E1316C"/>
    <w:rsid w:val="51E14C4F"/>
    <w:rsid w:val="51F12C7B"/>
    <w:rsid w:val="52653955"/>
    <w:rsid w:val="5269544E"/>
    <w:rsid w:val="52833010"/>
    <w:rsid w:val="52936E2E"/>
    <w:rsid w:val="52AB695E"/>
    <w:rsid w:val="52BC6F8F"/>
    <w:rsid w:val="52DE30E0"/>
    <w:rsid w:val="530B40C4"/>
    <w:rsid w:val="53230162"/>
    <w:rsid w:val="53294168"/>
    <w:rsid w:val="5365038B"/>
    <w:rsid w:val="536E65AA"/>
    <w:rsid w:val="5387518E"/>
    <w:rsid w:val="53E83831"/>
    <w:rsid w:val="5460222C"/>
    <w:rsid w:val="5462469C"/>
    <w:rsid w:val="54702393"/>
    <w:rsid w:val="548A0D12"/>
    <w:rsid w:val="54921362"/>
    <w:rsid w:val="54993572"/>
    <w:rsid w:val="54B25DD5"/>
    <w:rsid w:val="54E02408"/>
    <w:rsid w:val="5529471C"/>
    <w:rsid w:val="558C5FF8"/>
    <w:rsid w:val="55B82197"/>
    <w:rsid w:val="55BA0B8B"/>
    <w:rsid w:val="55BF531D"/>
    <w:rsid w:val="55D948C6"/>
    <w:rsid w:val="55F36D31"/>
    <w:rsid w:val="564F5983"/>
    <w:rsid w:val="567E3C5D"/>
    <w:rsid w:val="56C74721"/>
    <w:rsid w:val="5705408E"/>
    <w:rsid w:val="570E0D3C"/>
    <w:rsid w:val="58794481"/>
    <w:rsid w:val="58DC5DCF"/>
    <w:rsid w:val="58FB0973"/>
    <w:rsid w:val="59097B65"/>
    <w:rsid w:val="594270C5"/>
    <w:rsid w:val="59564200"/>
    <w:rsid w:val="59633966"/>
    <w:rsid w:val="59734062"/>
    <w:rsid w:val="598440EB"/>
    <w:rsid w:val="59894A08"/>
    <w:rsid w:val="598B5952"/>
    <w:rsid w:val="59993B2C"/>
    <w:rsid w:val="5A3A5FB1"/>
    <w:rsid w:val="5A494FD0"/>
    <w:rsid w:val="5A51111F"/>
    <w:rsid w:val="5AB86FE7"/>
    <w:rsid w:val="5ACC69B8"/>
    <w:rsid w:val="5AD1468A"/>
    <w:rsid w:val="5B4908D5"/>
    <w:rsid w:val="5B603D4E"/>
    <w:rsid w:val="5B950FBB"/>
    <w:rsid w:val="5BA724E2"/>
    <w:rsid w:val="5BA7360C"/>
    <w:rsid w:val="5BDC7C03"/>
    <w:rsid w:val="5BEC1A5C"/>
    <w:rsid w:val="5C154F81"/>
    <w:rsid w:val="5C223694"/>
    <w:rsid w:val="5C7C353D"/>
    <w:rsid w:val="5C7E1674"/>
    <w:rsid w:val="5CEC5C32"/>
    <w:rsid w:val="5D9617B1"/>
    <w:rsid w:val="5DAA7255"/>
    <w:rsid w:val="5DB3060C"/>
    <w:rsid w:val="5DC16C24"/>
    <w:rsid w:val="5E0C381D"/>
    <w:rsid w:val="5E154A86"/>
    <w:rsid w:val="5E9525E0"/>
    <w:rsid w:val="5E9B4B31"/>
    <w:rsid w:val="5E9E2E69"/>
    <w:rsid w:val="5ECD4ECE"/>
    <w:rsid w:val="5EE37E7A"/>
    <w:rsid w:val="5EEF56F8"/>
    <w:rsid w:val="5F1860D1"/>
    <w:rsid w:val="5FAE7F8D"/>
    <w:rsid w:val="601B4748"/>
    <w:rsid w:val="603E01EE"/>
    <w:rsid w:val="60456CEC"/>
    <w:rsid w:val="605734DC"/>
    <w:rsid w:val="606D1653"/>
    <w:rsid w:val="60733F65"/>
    <w:rsid w:val="610558DA"/>
    <w:rsid w:val="610E3D64"/>
    <w:rsid w:val="611F1497"/>
    <w:rsid w:val="612F1CBC"/>
    <w:rsid w:val="618B5521"/>
    <w:rsid w:val="61A5233B"/>
    <w:rsid w:val="61B24339"/>
    <w:rsid w:val="62050351"/>
    <w:rsid w:val="621E6DFD"/>
    <w:rsid w:val="62430667"/>
    <w:rsid w:val="628B2F2B"/>
    <w:rsid w:val="62BA16C4"/>
    <w:rsid w:val="62BE7882"/>
    <w:rsid w:val="62BF7C03"/>
    <w:rsid w:val="62DC5FD0"/>
    <w:rsid w:val="63065738"/>
    <w:rsid w:val="6395781D"/>
    <w:rsid w:val="63DB34FD"/>
    <w:rsid w:val="63E80812"/>
    <w:rsid w:val="640F7419"/>
    <w:rsid w:val="641B042E"/>
    <w:rsid w:val="64AA4F06"/>
    <w:rsid w:val="64B66CC2"/>
    <w:rsid w:val="64CB22C6"/>
    <w:rsid w:val="64CF6494"/>
    <w:rsid w:val="65494B26"/>
    <w:rsid w:val="657329F9"/>
    <w:rsid w:val="657B74D8"/>
    <w:rsid w:val="65834E5D"/>
    <w:rsid w:val="65C518D9"/>
    <w:rsid w:val="65C73DBA"/>
    <w:rsid w:val="661E7C9C"/>
    <w:rsid w:val="66463F12"/>
    <w:rsid w:val="665023D7"/>
    <w:rsid w:val="667142AB"/>
    <w:rsid w:val="667740C5"/>
    <w:rsid w:val="66F21A4E"/>
    <w:rsid w:val="66FB338F"/>
    <w:rsid w:val="66FF2A95"/>
    <w:rsid w:val="67603481"/>
    <w:rsid w:val="67704C26"/>
    <w:rsid w:val="67793ABE"/>
    <w:rsid w:val="67B41865"/>
    <w:rsid w:val="67EF4002"/>
    <w:rsid w:val="68035206"/>
    <w:rsid w:val="682A39D2"/>
    <w:rsid w:val="683B1D37"/>
    <w:rsid w:val="68910B1C"/>
    <w:rsid w:val="689E16C2"/>
    <w:rsid w:val="68F14812"/>
    <w:rsid w:val="696D52F3"/>
    <w:rsid w:val="69944A6C"/>
    <w:rsid w:val="69997FE5"/>
    <w:rsid w:val="69A30644"/>
    <w:rsid w:val="69E12828"/>
    <w:rsid w:val="69E46626"/>
    <w:rsid w:val="6A332DE3"/>
    <w:rsid w:val="6A6469C9"/>
    <w:rsid w:val="6A913B8D"/>
    <w:rsid w:val="6AAB6963"/>
    <w:rsid w:val="6ABF043E"/>
    <w:rsid w:val="6AD403BB"/>
    <w:rsid w:val="6AD72A47"/>
    <w:rsid w:val="6B841D22"/>
    <w:rsid w:val="6B921723"/>
    <w:rsid w:val="6BAA7ECA"/>
    <w:rsid w:val="6BDB4A30"/>
    <w:rsid w:val="6C2F0285"/>
    <w:rsid w:val="6C3353DF"/>
    <w:rsid w:val="6C4A2DB9"/>
    <w:rsid w:val="6C512942"/>
    <w:rsid w:val="6CAC2B14"/>
    <w:rsid w:val="6CC23729"/>
    <w:rsid w:val="6CC653FC"/>
    <w:rsid w:val="6CE3136F"/>
    <w:rsid w:val="6CF633F6"/>
    <w:rsid w:val="6CFF1B24"/>
    <w:rsid w:val="6D067790"/>
    <w:rsid w:val="6D212910"/>
    <w:rsid w:val="6D535D69"/>
    <w:rsid w:val="6D6A05AB"/>
    <w:rsid w:val="6DA66CE9"/>
    <w:rsid w:val="6DDA6A2B"/>
    <w:rsid w:val="6DEE4D41"/>
    <w:rsid w:val="6E1F299B"/>
    <w:rsid w:val="6E216934"/>
    <w:rsid w:val="6E3736E3"/>
    <w:rsid w:val="6E6459E9"/>
    <w:rsid w:val="6E8444FC"/>
    <w:rsid w:val="6E9F11FF"/>
    <w:rsid w:val="6EB11A63"/>
    <w:rsid w:val="6ED0411A"/>
    <w:rsid w:val="6EDC1243"/>
    <w:rsid w:val="6EE65392"/>
    <w:rsid w:val="6F0E6D88"/>
    <w:rsid w:val="6F605DF0"/>
    <w:rsid w:val="6F903D1D"/>
    <w:rsid w:val="6FA34C3B"/>
    <w:rsid w:val="6FF17A75"/>
    <w:rsid w:val="70055AAE"/>
    <w:rsid w:val="70227F9C"/>
    <w:rsid w:val="703A3000"/>
    <w:rsid w:val="705F3B5B"/>
    <w:rsid w:val="70777EA1"/>
    <w:rsid w:val="708A4858"/>
    <w:rsid w:val="70ED3A1C"/>
    <w:rsid w:val="713D353C"/>
    <w:rsid w:val="715D0235"/>
    <w:rsid w:val="71697A56"/>
    <w:rsid w:val="717C7E35"/>
    <w:rsid w:val="71BA2ED6"/>
    <w:rsid w:val="721C4268"/>
    <w:rsid w:val="722131E7"/>
    <w:rsid w:val="72524FB4"/>
    <w:rsid w:val="72976425"/>
    <w:rsid w:val="72D214F9"/>
    <w:rsid w:val="735B29C6"/>
    <w:rsid w:val="737F1C35"/>
    <w:rsid w:val="738A2474"/>
    <w:rsid w:val="739608B7"/>
    <w:rsid w:val="73A90ADD"/>
    <w:rsid w:val="73AC5E66"/>
    <w:rsid w:val="73D34415"/>
    <w:rsid w:val="73FB1F4A"/>
    <w:rsid w:val="74136125"/>
    <w:rsid w:val="742B5A2D"/>
    <w:rsid w:val="742B5C63"/>
    <w:rsid w:val="742B623D"/>
    <w:rsid w:val="74395AC6"/>
    <w:rsid w:val="743E74AE"/>
    <w:rsid w:val="744141F5"/>
    <w:rsid w:val="74441671"/>
    <w:rsid w:val="754D2952"/>
    <w:rsid w:val="756C37BD"/>
    <w:rsid w:val="75927D06"/>
    <w:rsid w:val="75D8124A"/>
    <w:rsid w:val="76152171"/>
    <w:rsid w:val="762D3D4B"/>
    <w:rsid w:val="76571437"/>
    <w:rsid w:val="76664A1E"/>
    <w:rsid w:val="76791036"/>
    <w:rsid w:val="76D31633"/>
    <w:rsid w:val="77067FEF"/>
    <w:rsid w:val="77857D3A"/>
    <w:rsid w:val="77AA4DB9"/>
    <w:rsid w:val="77AF27DB"/>
    <w:rsid w:val="77B540B9"/>
    <w:rsid w:val="77D72BA1"/>
    <w:rsid w:val="77DB0520"/>
    <w:rsid w:val="78285C13"/>
    <w:rsid w:val="782C3C84"/>
    <w:rsid w:val="7854324C"/>
    <w:rsid w:val="78FD19D3"/>
    <w:rsid w:val="7A112426"/>
    <w:rsid w:val="7A5366B7"/>
    <w:rsid w:val="7A68549F"/>
    <w:rsid w:val="7A8D3DF2"/>
    <w:rsid w:val="7ACA50A8"/>
    <w:rsid w:val="7AE30F42"/>
    <w:rsid w:val="7AE90FC7"/>
    <w:rsid w:val="7B004646"/>
    <w:rsid w:val="7B835A88"/>
    <w:rsid w:val="7B870A41"/>
    <w:rsid w:val="7BD62E54"/>
    <w:rsid w:val="7C1D0761"/>
    <w:rsid w:val="7C4A4CA7"/>
    <w:rsid w:val="7C5A789A"/>
    <w:rsid w:val="7CB54907"/>
    <w:rsid w:val="7CDB3DCC"/>
    <w:rsid w:val="7D8B50AC"/>
    <w:rsid w:val="7DEE39C9"/>
    <w:rsid w:val="7DF06D64"/>
    <w:rsid w:val="7DF32D3C"/>
    <w:rsid w:val="7E007F0C"/>
    <w:rsid w:val="7E3B0F17"/>
    <w:rsid w:val="7E490487"/>
    <w:rsid w:val="7E815B40"/>
    <w:rsid w:val="7E8A4A5D"/>
    <w:rsid w:val="7EA9587E"/>
    <w:rsid w:val="7EBC360D"/>
    <w:rsid w:val="7F01223F"/>
    <w:rsid w:val="7F1A2DB5"/>
    <w:rsid w:val="7F261C27"/>
    <w:rsid w:val="7F2E7B81"/>
    <w:rsid w:val="7F4113A6"/>
    <w:rsid w:val="7FF662F3"/>
    <w:rsid w:val="7FFC5A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5">
    <w:name w:val="annotation text"/>
    <w:basedOn w:val="1"/>
    <w:link w:val="25"/>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7"/>
    <w:unhideWhenUsed/>
    <w:qFormat/>
    <w:uiPriority w:val="99"/>
    <w:pPr>
      <w:ind w:left="100" w:leftChars="2500"/>
    </w:pPr>
  </w:style>
  <w:style w:type="paragraph" w:styleId="8">
    <w:name w:val="Balloon Text"/>
    <w:basedOn w:val="1"/>
    <w:link w:val="28"/>
    <w:unhideWhenUsed/>
    <w:qFormat/>
    <w:uiPriority w:val="99"/>
    <w:rPr>
      <w:kern w:val="0"/>
      <w:sz w:val="18"/>
      <w:szCs w:val="18"/>
    </w:rPr>
  </w:style>
  <w:style w:type="paragraph" w:styleId="9">
    <w:name w:val="footer"/>
    <w:basedOn w:val="1"/>
    <w:link w:val="29"/>
    <w:unhideWhenUsed/>
    <w:qFormat/>
    <w:uiPriority w:val="99"/>
    <w:pPr>
      <w:tabs>
        <w:tab w:val="center" w:pos="4153"/>
        <w:tab w:val="right" w:pos="8306"/>
      </w:tabs>
      <w:snapToGrid w:val="0"/>
      <w:jc w:val="left"/>
    </w:pPr>
    <w:rPr>
      <w:kern w:val="0"/>
      <w:sz w:val="18"/>
      <w:szCs w:val="18"/>
    </w:rPr>
  </w:style>
  <w:style w:type="paragraph" w:styleId="10">
    <w:name w:val="header"/>
    <w:basedOn w:val="1"/>
    <w:link w:val="3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5"/>
    <w:next w:val="5"/>
    <w:link w:val="32"/>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character" w:styleId="21">
    <w:name w:val="footnote reference"/>
    <w:unhideWhenUsed/>
    <w:qFormat/>
    <w:uiPriority w:val="99"/>
    <w:rPr>
      <w:vertAlign w:val="superscript"/>
    </w:rPr>
  </w:style>
  <w:style w:type="character" w:customStyle="1" w:styleId="22">
    <w:name w:val="标题 1 Char"/>
    <w:link w:val="2"/>
    <w:qFormat/>
    <w:uiPriority w:val="1"/>
    <w:rPr>
      <w:rFonts w:ascii="黑体" w:hAnsi="Times New Roman" w:eastAsia="黑体" w:cs="黑体"/>
      <w:b/>
      <w:bCs/>
      <w:kern w:val="0"/>
      <w:sz w:val="36"/>
      <w:szCs w:val="36"/>
    </w:rPr>
  </w:style>
  <w:style w:type="character" w:customStyle="1" w:styleId="23">
    <w:name w:val="标题 2 Char"/>
    <w:link w:val="3"/>
    <w:qFormat/>
    <w:uiPriority w:val="9"/>
    <w:rPr>
      <w:rFonts w:ascii="Cambria" w:hAnsi="Cambria" w:eastAsia="宋体" w:cs="Times New Roman"/>
      <w:b/>
      <w:bCs/>
      <w:sz w:val="32"/>
      <w:szCs w:val="32"/>
    </w:rPr>
  </w:style>
  <w:style w:type="character" w:customStyle="1" w:styleId="24">
    <w:name w:val="标题 3 Char"/>
    <w:link w:val="4"/>
    <w:qFormat/>
    <w:uiPriority w:val="1"/>
    <w:rPr>
      <w:rFonts w:ascii="宋体" w:hAnsi="Times New Roman" w:eastAsia="宋体" w:cs="宋体"/>
      <w:b/>
      <w:bCs/>
      <w:kern w:val="0"/>
      <w:szCs w:val="21"/>
    </w:rPr>
  </w:style>
  <w:style w:type="character" w:customStyle="1" w:styleId="25">
    <w:name w:val="批注文字 Char"/>
    <w:link w:val="5"/>
    <w:qFormat/>
    <w:uiPriority w:val="99"/>
    <w:rPr>
      <w:kern w:val="2"/>
      <w:sz w:val="21"/>
      <w:szCs w:val="22"/>
    </w:rPr>
  </w:style>
  <w:style w:type="character" w:customStyle="1" w:styleId="26">
    <w:name w:val="正文文本 Char"/>
    <w:link w:val="6"/>
    <w:qFormat/>
    <w:uiPriority w:val="1"/>
    <w:rPr>
      <w:rFonts w:ascii="宋体" w:hAnsi="Times New Roman" w:eastAsia="宋体" w:cs="宋体"/>
      <w:kern w:val="0"/>
      <w:szCs w:val="21"/>
    </w:rPr>
  </w:style>
  <w:style w:type="character" w:customStyle="1" w:styleId="27">
    <w:name w:val="日期 Char"/>
    <w:link w:val="7"/>
    <w:semiHidden/>
    <w:qFormat/>
    <w:uiPriority w:val="99"/>
  </w:style>
  <w:style w:type="character" w:customStyle="1" w:styleId="28">
    <w:name w:val="批注框文本 Char"/>
    <w:link w:val="8"/>
    <w:semiHidden/>
    <w:qFormat/>
    <w:uiPriority w:val="99"/>
    <w:rPr>
      <w:sz w:val="18"/>
      <w:szCs w:val="18"/>
    </w:rPr>
  </w:style>
  <w:style w:type="character" w:customStyle="1" w:styleId="29">
    <w:name w:val="页脚 Char"/>
    <w:link w:val="9"/>
    <w:qFormat/>
    <w:uiPriority w:val="99"/>
    <w:rPr>
      <w:sz w:val="18"/>
      <w:szCs w:val="18"/>
    </w:rPr>
  </w:style>
  <w:style w:type="character" w:customStyle="1" w:styleId="30">
    <w:name w:val="页眉 Char"/>
    <w:link w:val="10"/>
    <w:qFormat/>
    <w:uiPriority w:val="99"/>
    <w:rPr>
      <w:sz w:val="18"/>
      <w:szCs w:val="18"/>
    </w:rPr>
  </w:style>
  <w:style w:type="character" w:customStyle="1" w:styleId="31">
    <w:name w:val="脚注文本 Char1"/>
    <w:link w:val="11"/>
    <w:semiHidden/>
    <w:qFormat/>
    <w:uiPriority w:val="99"/>
    <w:rPr>
      <w:kern w:val="2"/>
      <w:sz w:val="18"/>
      <w:szCs w:val="18"/>
    </w:rPr>
  </w:style>
  <w:style w:type="character" w:customStyle="1" w:styleId="32">
    <w:name w:val="批注主题 Char"/>
    <w:link w:val="14"/>
    <w:semiHidden/>
    <w:qFormat/>
    <w:uiPriority w:val="99"/>
    <w:rPr>
      <w:b/>
      <w:bCs/>
      <w:kern w:val="2"/>
      <w:sz w:val="21"/>
      <w:szCs w:val="22"/>
    </w:rPr>
  </w:style>
  <w:style w:type="paragraph" w:styleId="33">
    <w:name w:val="List Paragraph"/>
    <w:basedOn w:val="1"/>
    <w:qFormat/>
    <w:uiPriority w:val="72"/>
    <w:pPr>
      <w:ind w:firstLine="420" w:firstLineChars="200"/>
    </w:pPr>
  </w:style>
  <w:style w:type="paragraph" w:customStyle="1" w:styleId="34">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6">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7">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38269</Words>
  <Characters>39577</Characters>
  <Lines>227</Lines>
  <Paragraphs>64</Paragraphs>
  <TotalTime>144</TotalTime>
  <ScaleCrop>false</ScaleCrop>
  <LinksUpToDate>false</LinksUpToDate>
  <CharactersWithSpaces>39820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2022-08-03T02:08:00Z</dcterms:created>
  <dc:creator>JSYH</dc:creator>
  <cp:lastModifiedBy>lhy</cp:lastModifiedBy>
  <cp:lastPrinted>2022-09-01T07:58:00Z</cp:lastPrinted>
  <dcterms:modified xsi:type="dcterms:W3CDTF">2026-01-13T10:43:57Z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78CA6A7D9CCF4112A9D54600A459C9C5</vt:lpwstr>
  </property>
</Properties>
</file>