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bookmarkStart w:id="1" w:name="_GoBack"/>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启源</w:t>
      </w:r>
      <w:r>
        <w:rPr>
          <w:rFonts w:hint="eastAsia" w:ascii="楷体" w:hAnsi="楷体" w:eastAsia="楷体"/>
          <w:b/>
          <w:color w:val="auto"/>
          <w:sz w:val="28"/>
          <w:szCs w:val="28"/>
          <w:lang w:val="en-US" w:eastAsia="zh-CN"/>
        </w:rPr>
        <w:t>现金5</w:t>
      </w:r>
      <w:r>
        <w:rPr>
          <w:rFonts w:hint="eastAsia" w:ascii="楷体" w:hAnsi="楷体" w:eastAsia="楷体"/>
          <w:b/>
          <w:color w:val="auto"/>
          <w:sz w:val="28"/>
          <w:szCs w:val="28"/>
          <w:lang w:eastAsia="zh-CN"/>
        </w:rPr>
        <w:t>号</w:t>
      </w:r>
      <w:r>
        <w:rPr>
          <w:rFonts w:hint="eastAsia" w:ascii="楷体" w:hAnsi="楷体" w:eastAsia="楷体"/>
          <w:b/>
          <w:color w:val="auto"/>
          <w:sz w:val="28"/>
          <w:szCs w:val="28"/>
        </w:rPr>
        <w:t>”理财产品</w:t>
      </w:r>
      <w:bookmarkEnd w:id="1"/>
      <w:r>
        <w:rPr>
          <w:rFonts w:hint="eastAsia" w:ascii="楷体" w:hAnsi="楷体" w:eastAsia="楷体"/>
          <w:b/>
          <w:color w:val="auto"/>
          <w:sz w:val="28"/>
          <w:szCs w:val="28"/>
        </w:rPr>
        <w:t>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w:t>
      </w:r>
      <w:r>
        <w:rPr>
          <w:rFonts w:hint="eastAsia" w:ascii="楷体" w:hAnsi="楷体" w:eastAsia="楷体"/>
          <w:b/>
          <w:color w:val="auto"/>
          <w:sz w:val="21"/>
          <w:szCs w:val="21"/>
          <w:highlight w:val="none"/>
          <w:u w:val="single"/>
          <w:lang w:val="en-US" w:eastAsia="zh-CN"/>
        </w:rPr>
        <w:t>一</w:t>
      </w:r>
      <w:r>
        <w:rPr>
          <w:rFonts w:hint="eastAsia" w:ascii="楷体" w:hAnsi="楷体" w:eastAsia="楷体"/>
          <w:b/>
          <w:color w:val="auto"/>
          <w:sz w:val="21"/>
          <w:szCs w:val="21"/>
          <w:highlight w:val="none"/>
          <w:u w:val="single"/>
        </w:rPr>
        <w:t>级，适合</w:t>
      </w:r>
      <w:r>
        <w:rPr>
          <w:rFonts w:hint="eastAsia" w:ascii="楷体" w:hAnsi="楷体" w:eastAsia="楷体" w:cs="Calibri"/>
          <w:b/>
          <w:color w:val="auto"/>
          <w:sz w:val="21"/>
          <w:szCs w:val="21"/>
          <w:highlight w:val="none"/>
          <w:u w:val="single"/>
        </w:rPr>
        <w:t>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left"/>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cs="宋体"/>
          <w:b/>
          <w:kern w:val="0"/>
          <w:sz w:val="28"/>
          <w:szCs w:val="28"/>
        </w:rPr>
      </w:pPr>
      <w:r>
        <w:rPr>
          <w:rFonts w:hint="eastAsia" w:ascii="楷体" w:hAnsi="楷体" w:eastAsia="楷体" w:cs="宋体"/>
          <w:b/>
          <w:kern w:val="0"/>
          <w:sz w:val="28"/>
          <w:szCs w:val="28"/>
        </w:rPr>
        <w:br w:type="page"/>
      </w:r>
    </w:p>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启源现金5号</w:t>
      </w:r>
      <w:r>
        <w:rPr>
          <w:rFonts w:hint="eastAsia" w:ascii="楷体" w:hAnsi="楷体" w:eastAsia="楷体" w:cs="宋体"/>
          <w:b/>
          <w:kern w:val="0"/>
          <w:sz w:val="28"/>
          <w:szCs w:val="28"/>
        </w:rPr>
        <w:t>”理财产品说明书</w:t>
      </w:r>
    </w:p>
    <w:p>
      <w:pPr>
        <w:pStyle w:val="13"/>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2025年10月版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w:t>
      </w:r>
      <w:r>
        <w:rPr>
          <w:rFonts w:hint="eastAsia" w:ascii="楷体" w:hAnsi="楷体" w:eastAsia="楷体"/>
          <w:szCs w:val="21"/>
          <w:lang w:eastAsia="zh-CN"/>
        </w:rPr>
        <w:t>投资范围</w:t>
      </w:r>
      <w:r>
        <w:rPr>
          <w:rFonts w:hint="eastAsia" w:ascii="楷体" w:hAnsi="楷体" w:eastAsia="楷体"/>
          <w:szCs w:val="21"/>
        </w:rPr>
        <w:t>、风险类型等基本情况，在慎重考虑后自行决定购买与自身风险承受能力和资产管理需求匹配的理财产品。</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启源现金5号</w:t>
      </w:r>
      <w:r>
        <w:rPr>
          <w:rFonts w:hint="eastAsia" w:ascii="楷体" w:hAnsi="楷体" w:eastAsia="楷体"/>
          <w:szCs w:val="21"/>
        </w:rPr>
        <w:t>”理财产品风险揭示书》的“风险揭示”部分。</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5"/>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Z7003123000050，投资者可依据该编码在中国理财网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A份额：苏银理财启源现金5号A/J02348</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W份额：苏银理财启源现金5号W/J02425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X份额：苏银理财启源现金5号X/J02510</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B份额：苏银理财启源现金5号B/J02773</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S份额：苏银理财启源现金5号S/J02769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H份额：苏银理财启源现金5号H/J03415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JS份额：苏银理财启源现金5号JS鑫福款/J03576</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J份额：苏银理财启源现金5号J/J03644</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F份额：苏银理财启源现金5号F/J03674</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K份额：苏银理财启源现金5号K/J03804</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N份额：苏银理财启源现金5号N/J03850</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P份额：苏银理财启源现金5号P/J04619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DG份额：苏银理财启源现金5号DG/J04871</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T</w:t>
            </w:r>
            <w:r>
              <w:rPr>
                <w:rFonts w:hint="default" w:ascii="楷体" w:hAnsi="楷体" w:eastAsia="楷体" w:cs="宋体"/>
                <w:spacing w:val="-2"/>
                <w:sz w:val="18"/>
                <w:szCs w:val="18"/>
                <w:highlight w:val="none"/>
                <w:lang w:val="en-US" w:eastAsia="zh-CN"/>
              </w:rPr>
              <w:t>份额：苏银理财</w:t>
            </w:r>
            <w:r>
              <w:rPr>
                <w:rFonts w:hint="eastAsia" w:ascii="楷体" w:hAnsi="楷体" w:eastAsia="楷体" w:cs="宋体"/>
                <w:spacing w:val="-2"/>
                <w:sz w:val="18"/>
                <w:szCs w:val="18"/>
                <w:highlight w:val="none"/>
                <w:lang w:val="en-US" w:eastAsia="zh-CN"/>
              </w:rPr>
              <w:t>启源现金5号T</w:t>
            </w:r>
            <w:r>
              <w:rPr>
                <w:rFonts w:hint="default" w:ascii="楷体" w:hAnsi="楷体" w:eastAsia="楷体" w:cs="宋体"/>
                <w:spacing w:val="-2"/>
                <w:sz w:val="18"/>
                <w:szCs w:val="18"/>
                <w:highlight w:val="none"/>
                <w:lang w:val="en-US" w:eastAsia="zh-CN"/>
              </w:rPr>
              <w:t>/J09</w:t>
            </w:r>
            <w:r>
              <w:rPr>
                <w:rFonts w:hint="eastAsia" w:ascii="楷体" w:hAnsi="楷体" w:eastAsia="楷体" w:cs="宋体"/>
                <w:spacing w:val="-2"/>
                <w:sz w:val="18"/>
                <w:szCs w:val="18"/>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A/W/X/B/S/JS/J/F/K/N/P/DG/T份额：个人和机构;</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w:t>
            </w:r>
            <w:r>
              <w:rPr>
                <w:rFonts w:hint="default" w:ascii="楷体" w:hAnsi="楷体" w:eastAsia="楷体" w:cs="宋体"/>
                <w:spacing w:val="-2"/>
                <w:sz w:val="18"/>
                <w:szCs w:val="18"/>
                <w:highlight w:val="none"/>
                <w:lang w:val="en-US" w:eastAsia="zh-CN"/>
              </w:rPr>
              <w:t>个人（销售机构深圳农村商业银行仅限房贷按揭客户）。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sz w:val="18"/>
                <w:szCs w:val="18"/>
                <w:highlight w:val="none"/>
                <w:lang w:val="en-US" w:eastAsia="zh-CN"/>
              </w:rPr>
            </w:pPr>
            <w:r>
              <w:rPr>
                <w:rFonts w:hint="eastAsia" w:ascii="楷体" w:hAnsi="楷体" w:eastAsia="楷体"/>
                <w:sz w:val="18"/>
                <w:szCs w:val="18"/>
                <w:highlight w:val="none"/>
                <w:lang w:val="en-US" w:eastAsia="zh-CN"/>
              </w:rPr>
              <w:t>A/W/X/B/S/H/JS/J/F/K/N/P/T份额：0.01元/0.01元的整数倍；</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DG份额：个人投资者1元/0.01元的整数倍；机构投资者1万元/1元的整数倍。</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2023年4月24日至2023年4月26日</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2023年4月27日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2032年12月31日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tabs>
                <w:tab w:val="left" w:pos="728"/>
              </w:tabs>
              <w:snapToGrid w:val="0"/>
              <w:ind w:left="21" w:leftChars="10" w:right="21" w:rightChars="10"/>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本产品开放日为每个交易日。</w:t>
            </w:r>
            <w:r>
              <w:rPr>
                <w:rFonts w:hint="eastAsia" w:ascii="楷体" w:hAnsi="楷体" w:eastAsia="楷体" w:cs="宋体"/>
                <w:spacing w:val="-2"/>
                <w:kern w:val="0"/>
                <w:sz w:val="18"/>
                <w:szCs w:val="18"/>
              </w:rPr>
              <w:t>管理人有权根据资产运作情况、节假日安排调整开放日，并在调整前进行公告。交易日指上海证券交易所和深圳证券交易所的正常开盘交易日。</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2.销售服务费率（年化）：A/X/B/S/H/JS/K/N/P/DG</w:t>
            </w:r>
            <w:r>
              <w:rPr>
                <w:rFonts w:hint="eastAsia" w:ascii="楷体" w:hAnsi="楷体" w:eastAsia="楷体" w:cs="宋体"/>
                <w:spacing w:val="-2"/>
                <w:sz w:val="18"/>
                <w:szCs w:val="18"/>
                <w:highlight w:val="none"/>
                <w:lang w:val="en-US" w:eastAsia="zh-CN"/>
              </w:rPr>
              <w:t>/T</w:t>
            </w:r>
            <w:r>
              <w:rPr>
                <w:rFonts w:hint="eastAsia" w:ascii="楷体" w:hAnsi="楷体" w:eastAsia="楷体" w:cs="宋体"/>
                <w:spacing w:val="-2"/>
                <w:sz w:val="18"/>
                <w:szCs w:val="18"/>
                <w:highlight w:val="none"/>
              </w:rPr>
              <w:t>份额0.20%；J/F份额0.30%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W份额0.40%。</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中信百信银行股份有限公司/上海农村商业银行股份有限公司/江苏银行股份有限公司/中邮邮惠万家银行有限责任公司/深圳前海微众银行股份有限公司/苏银理财有限责任公司/江苏江南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W份额：浙江网商银行股份有限公司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X份额：江苏银行股份有限公司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S份额：北京银行股份有限公司/深圳农村商业银行股份有限公司/九江银行股份有限公司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B份额：中邮邮惠万家银行有限责任公司/嘉兴银行股份有限公司/苏银理财有限责任公司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H份额：苏银理财有限责任公司/深圳农村商业银行股份有限公司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江苏仪征农村商业银行股份有限公司/江苏灌云农村商业银行股份有限公司/连云港东方农村商业银行股份有限公司/江苏金湖农村商业银行股份有限公司/江苏扬州农村商业银行股份有限公司/江苏句容农村商业银行股份有限公司/江苏睢宁农村商业银行股份有限公司/江苏宜兴农村商业银行股份有限公司/江苏南通农村商业银行股份有限公司/江苏大丰农村商业银行股份有限公司/江苏高淳农村商业银行股份有限公司/江苏泗洪农村商业银行股份有限公司/江苏溧水农村商业银行股份有限公司/江苏赣榆农村商业银行股份有限公司/江苏射阳农村商业银行股份有限公司/江苏淮安农村商业银行股份有限公司/江苏如东农村商业银行股份有限公司/江苏建湖农村商业银行股份有限公司/江苏涟水农村商业银行股份有限公司/江苏东台农村商业银行股份有限公司/江苏扬中农村商业银行股份有限公司/江苏丰县农村商业银行股份有限公司/江苏紫金农村商业银行股份有限公司/江苏丹阳农村商业银行股份有限公司/江苏靖江农村商业银行股份有限公司/江苏江都农村商业银行股份有限公司/徐州农村商业银行股份有限公司/江苏沭阳农村商业银行股份有限公司/江苏常熟农村商业银行股份有限公司/江苏洪泽农村商业银行股份有限公司/江苏镇江农村商业银行股份有限公司/江苏启东农村商业银行股份有限公司/江苏盱眙农村商业银行股份有限公司/苏银理财有限责任公司/江苏如皋农村商业银行股份有限公司/江苏泰兴农村商业银行股份有限公司/江苏泗阳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J份额：江苏银行股份有限公司/苏银理财有限责任公司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K份额：江苏银行股份有限公司/苏银理财有限责任公司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N份额：平安银行股份有限公司/苏银理财有限责任公司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P份额：江苏银行股份有限公司/苏银理财有限责任公司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DG份额：苏银理财有限责任公司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T份额：苏银理财有限责任公司</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9"/>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pStyle w:val="2"/>
        <w:keepNext w:val="0"/>
        <w:keepLines w:val="0"/>
        <w:pageBreakBefore w:val="0"/>
        <w:widowControl w:val="0"/>
        <w:numPr>
          <w:ilvl w:val="0"/>
          <w:numId w:val="11"/>
        </w:numPr>
        <w:kinsoku/>
        <w:wordWrap/>
        <w:overflowPunct/>
        <w:topLinePunct w:val="0"/>
        <w:bidi w:val="0"/>
        <w:snapToGrid/>
        <w:spacing w:before="0"/>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英大保险资产管理有限公司：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中国人保资产管理有限公司：中国人保资产管理有限公司成立于2003年7月16日，是经国务院同意、原中国保监会批准设立的境内第一家保险资产管理公司，由中国人民保险集团股份有限公司发起。</w:t>
      </w:r>
    </w:p>
    <w:p>
      <w:pPr>
        <w:pStyle w:val="2"/>
        <w:keepNext w:val="0"/>
        <w:keepLines w:val="0"/>
        <w:pageBreakBefore w:val="0"/>
        <w:widowControl w:val="0"/>
        <w:numPr>
          <w:ilvl w:val="0"/>
          <w:numId w:val="11"/>
        </w:numPr>
        <w:kinsoku/>
        <w:wordWrap/>
        <w:overflowPunct/>
        <w:topLinePunct w:val="0"/>
        <w:bidi w:val="0"/>
        <w:snapToGrid/>
        <w:spacing w:before="0"/>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pStyle w:val="2"/>
        <w:keepNext w:val="0"/>
        <w:keepLines w:val="0"/>
        <w:pageBreakBefore w:val="0"/>
        <w:widowControl w:val="0"/>
        <w:numPr>
          <w:ilvl w:val="0"/>
          <w:numId w:val="11"/>
        </w:numPr>
        <w:kinsoku/>
        <w:wordWrap/>
        <w:overflowPunct/>
        <w:topLinePunct w:val="0"/>
        <w:bidi w:val="0"/>
        <w:snapToGrid/>
        <w:spacing w:before="0"/>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平安资产管理有限责任公司：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szCs w:val="21"/>
          <w:lang w:val="en-US" w:eastAsia="zh-CN"/>
        </w:rPr>
      </w:pPr>
      <w:r>
        <w:rPr>
          <w:rFonts w:hint="eastAsia" w:ascii="楷体" w:hAnsi="楷体" w:eastAsia="楷体" w:cs="Calibri"/>
          <w:b w:val="0"/>
          <w:bCs/>
          <w:szCs w:val="21"/>
          <w:lang w:val="en-US"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szCs w:val="21"/>
          <w:lang w:val="en-US" w:eastAsia="zh-CN"/>
        </w:rPr>
      </w:pPr>
      <w:r>
        <w:rPr>
          <w:rFonts w:hint="eastAsia" w:ascii="楷体" w:hAnsi="楷体" w:eastAsia="楷体" w:cs="Calibri"/>
          <w:b w:val="0"/>
          <w:bCs/>
          <w:szCs w:val="21"/>
          <w:lang w:val="en-US"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szCs w:val="21"/>
          <w:lang w:val="en-US" w:eastAsia="zh-CN"/>
        </w:rPr>
      </w:pPr>
      <w:r>
        <w:rPr>
          <w:rFonts w:hint="eastAsia" w:ascii="楷体" w:hAnsi="楷体" w:eastAsia="楷体" w:cs="Calibri"/>
          <w:b w:val="0"/>
          <w:bCs/>
          <w:szCs w:val="21"/>
          <w:lang w:val="en-US"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color w:val="auto"/>
          <w:szCs w:val="21"/>
          <w:lang w:val="en-US" w:eastAsia="zh-CN"/>
        </w:rPr>
      </w:pPr>
      <w:r>
        <w:rPr>
          <w:rFonts w:hint="eastAsia" w:ascii="楷体" w:hAnsi="楷体" w:eastAsia="楷体" w:cs="Calibri"/>
          <w:b w:val="0"/>
          <w:bCs/>
          <w:color w:val="auto"/>
          <w:szCs w:val="21"/>
          <w:lang w:val="en-US" w:eastAsia="zh-CN"/>
        </w:rPr>
        <w:t>广发期货有限公司：广发期货有限公司于1993年3月成立，注册资本20亿元，为广发证券股份有限公司全资子公司，公司于2012年11月获得资产管理业务牌照，是首批获得期货公司资产管理牌照的公司。十余年间管理产品160余只，累计管理规模近300亿元，公司近三年证监会分类评级均为A类AA级，整体资质较好。</w:t>
      </w:r>
    </w:p>
    <w:p>
      <w:pPr>
        <w:keepNext w:val="0"/>
        <w:keepLines w:val="0"/>
        <w:pageBreakBefore w:val="0"/>
        <w:widowControl w:val="0"/>
        <w:numPr>
          <w:ilvl w:val="0"/>
          <w:numId w:val="11"/>
        </w:numPr>
        <w:kinsoku/>
        <w:wordWrap/>
        <w:overflowPunct/>
        <w:topLinePunct w:val="0"/>
        <w:bidi w:val="0"/>
        <w:snapToGrid/>
        <w:ind w:left="0" w:leftChars="0" w:firstLine="420" w:firstLineChars="200"/>
        <w:textAlignment w:val="auto"/>
        <w:rPr>
          <w:rFonts w:hint="eastAsia" w:ascii="楷体" w:hAnsi="楷体" w:eastAsia="楷体" w:cs="Calibri"/>
          <w:b w:val="0"/>
          <w:bCs/>
          <w:color w:val="auto"/>
          <w:szCs w:val="21"/>
          <w:lang w:val="en-US" w:eastAsia="zh-CN"/>
        </w:rPr>
      </w:pPr>
      <w:r>
        <w:rPr>
          <w:rFonts w:hint="eastAsia" w:ascii="楷体" w:hAnsi="楷体" w:eastAsia="楷体" w:cs="Calibri"/>
          <w:b w:val="0"/>
          <w:bCs/>
          <w:color w:val="auto"/>
          <w:szCs w:val="21"/>
          <w:lang w:val="en-US" w:eastAsia="zh-CN"/>
        </w:rPr>
        <w:t>招商证券资产管理有限公司：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创新试点、QDII资格的券商资产管理之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val="0"/>
          <w:bCs w:val="0"/>
          <w:szCs w:val="21"/>
        </w:rPr>
        <w:t>每个</w:t>
      </w:r>
      <w:r>
        <w:rPr>
          <w:rFonts w:hint="eastAsia" w:ascii="楷体" w:hAnsi="楷体" w:eastAsia="楷体" w:cs="Calibri"/>
          <w:b w:val="0"/>
          <w:bCs w:val="0"/>
          <w:szCs w:val="21"/>
          <w:lang w:val="en-US" w:eastAsia="zh-CN"/>
        </w:rPr>
        <w:t>交易日</w:t>
      </w:r>
      <w:r>
        <w:rPr>
          <w:rFonts w:hint="eastAsia" w:ascii="楷体" w:hAnsi="楷体" w:eastAsia="楷体" w:cs="Calibri"/>
          <w:b w:val="0"/>
          <w:bCs w:val="0"/>
          <w:szCs w:val="21"/>
        </w:rPr>
        <w:t>为产品开放日</w:t>
      </w:r>
      <w:r>
        <w:rPr>
          <w:rFonts w:hint="eastAsia" w:ascii="楷体" w:hAnsi="楷体" w:eastAsia="楷体" w:cs="Calibri"/>
          <w:b w:val="0"/>
          <w:bCs w:val="0"/>
          <w:szCs w:val="21"/>
          <w:lang w:eastAsia="zh-CN"/>
        </w:rPr>
        <w:t>（</w:t>
      </w:r>
      <w:r>
        <w:rPr>
          <w:rFonts w:hint="eastAsia" w:ascii="楷体" w:hAnsi="楷体" w:eastAsia="楷体" w:cs="Calibri"/>
          <w:b w:val="0"/>
          <w:bCs w:val="0"/>
          <w:szCs w:val="21"/>
          <w:lang w:val="en-US" w:eastAsia="zh-CN"/>
        </w:rPr>
        <w:t>T日）</w:t>
      </w:r>
      <w:r>
        <w:rPr>
          <w:rFonts w:hint="eastAsia" w:ascii="楷体" w:hAnsi="楷体" w:eastAsia="楷体" w:cs="Calibri"/>
          <w:szCs w:val="21"/>
        </w:rPr>
        <w:t>。开放日闭市前的申购/赎回申请当日受理，闭市后的申购/赎回申请为预受理，视同下一</w:t>
      </w:r>
      <w:r>
        <w:rPr>
          <w:rFonts w:hint="eastAsia" w:ascii="楷体" w:hAnsi="楷体" w:eastAsia="楷体" w:cs="Calibri"/>
          <w:szCs w:val="21"/>
          <w:lang w:val="en-US" w:eastAsia="zh-CN"/>
        </w:rPr>
        <w:t>开放</w:t>
      </w:r>
      <w:r>
        <w:rPr>
          <w:rFonts w:hint="eastAsia" w:ascii="楷体" w:hAnsi="楷体" w:eastAsia="楷体" w:cs="Calibri"/>
          <w:szCs w:val="21"/>
        </w:rPr>
        <w:t>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份额支持夜市理财功能，但夜市理财功能闭市时间不得超过开放日24：00，夜市理财功能以销售机构设置为准。</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w:t>
      </w:r>
      <w:r>
        <w:rPr>
          <w:rFonts w:hint="eastAsia" w:ascii="楷体" w:hAnsi="楷体" w:eastAsia="楷体" w:cs="Calibri"/>
          <w:szCs w:val="21"/>
          <w:lang w:val="en-US" w:eastAsia="zh-CN"/>
        </w:rPr>
        <w:t>T+</w:t>
      </w:r>
      <w:r>
        <w:rPr>
          <w:rFonts w:hint="eastAsia" w:ascii="楷体" w:hAnsi="楷体" w:eastAsia="楷体" w:cs="Calibri"/>
          <w:szCs w:val="21"/>
        </w:rPr>
        <w:t>1日按开放日单位净值对申购/赎回申请予以统一确认。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9"/>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5"/>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2050"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2051"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2"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49"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1">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2D42F757"/>
    <w:multiLevelType w:val="singleLevel"/>
    <w:tmpl w:val="2D42F757"/>
    <w:lvl w:ilvl="0" w:tentative="0">
      <w:start w:val="2"/>
      <w:numFmt w:val="chineseCounting"/>
      <w:suff w:val="nothing"/>
      <w:lvlText w:val="（%1）"/>
      <w:lvlJc w:val="left"/>
      <w:rPr>
        <w:rFonts w:hint="eastAsia"/>
        <w:b/>
        <w:bCs/>
      </w:rPr>
    </w:lvl>
  </w:abstractNum>
  <w:abstractNum w:abstractNumId="14">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6">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0">
    <w:nsid w:val="69F9A987"/>
    <w:multiLevelType w:val="singleLevel"/>
    <w:tmpl w:val="69F9A987"/>
    <w:lvl w:ilvl="0" w:tentative="0">
      <w:start w:val="1"/>
      <w:numFmt w:val="decimalEnclosedCircleChinese"/>
      <w:suff w:val="nothing"/>
      <w:lvlText w:val="%1"/>
      <w:lvlJc w:val="left"/>
      <w:pPr>
        <w:ind w:left="0" w:firstLine="403"/>
      </w:pPr>
      <w:rPr>
        <w:rFonts w:hint="eastAsia"/>
      </w:rPr>
    </w:lvl>
  </w:abstractNum>
  <w:abstractNum w:abstractNumId="21">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2">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4">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7"/>
  </w:num>
  <w:num w:numId="2">
    <w:abstractNumId w:val="0"/>
  </w:num>
  <w:num w:numId="3">
    <w:abstractNumId w:val="18"/>
  </w:num>
  <w:num w:numId="4">
    <w:abstractNumId w:val="5"/>
  </w:num>
  <w:num w:numId="5">
    <w:abstractNumId w:val="15"/>
  </w:num>
  <w:num w:numId="6">
    <w:abstractNumId w:val="10"/>
  </w:num>
  <w:num w:numId="7">
    <w:abstractNumId w:val="3"/>
  </w:num>
  <w:num w:numId="8">
    <w:abstractNumId w:val="2"/>
  </w:num>
  <w:num w:numId="9">
    <w:abstractNumId w:val="7"/>
  </w:num>
  <w:num w:numId="10">
    <w:abstractNumId w:val="22"/>
  </w:num>
  <w:num w:numId="11">
    <w:abstractNumId w:val="20"/>
  </w:num>
  <w:num w:numId="12">
    <w:abstractNumId w:val="19"/>
  </w:num>
  <w:num w:numId="13">
    <w:abstractNumId w:val="11"/>
  </w:num>
  <w:num w:numId="14">
    <w:abstractNumId w:val="9"/>
  </w:num>
  <w:num w:numId="15">
    <w:abstractNumId w:val="6"/>
  </w:num>
  <w:num w:numId="16">
    <w:abstractNumId w:val="12"/>
  </w:num>
  <w:num w:numId="17">
    <w:abstractNumId w:val="16"/>
  </w:num>
  <w:num w:numId="18">
    <w:abstractNumId w:val="8"/>
  </w:num>
  <w:num w:numId="19">
    <w:abstractNumId w:val="24"/>
  </w:num>
  <w:num w:numId="20">
    <w:abstractNumId w:val="1"/>
  </w:num>
  <w:num w:numId="21">
    <w:abstractNumId w:val="23"/>
  </w:num>
  <w:num w:numId="22">
    <w:abstractNumId w:val="14"/>
  </w:num>
  <w:num w:numId="23">
    <w:abstractNumId w:val="21"/>
  </w:num>
  <w:num w:numId="24">
    <w:abstractNumId w:val="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47066D"/>
    <w:rsid w:val="19470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29"/>
    <w:unhideWhenUsed/>
    <w:qFormat/>
    <w:uiPriority w:val="99"/>
    <w:pPr>
      <w:ind w:left="100" w:leftChars="2500"/>
    </w:pPr>
  </w:style>
  <w:style w:type="paragraph" w:styleId="8">
    <w:name w:val="Balloon Text"/>
    <w:basedOn w:val="1"/>
    <w:link w:val="33"/>
    <w:unhideWhenUsed/>
    <w:qFormat/>
    <w:uiPriority w:val="99"/>
    <w:rPr>
      <w:kern w:val="0"/>
      <w:sz w:val="18"/>
      <w:szCs w:val="18"/>
    </w:rPr>
  </w:style>
  <w:style w:type="paragraph" w:styleId="9">
    <w:name w:val="footer"/>
    <w:basedOn w:val="1"/>
    <w:link w:val="31"/>
    <w:unhideWhenUsed/>
    <w:qFormat/>
    <w:uiPriority w:val="99"/>
    <w:pPr>
      <w:tabs>
        <w:tab w:val="center" w:pos="4153"/>
        <w:tab w:val="right" w:pos="8306"/>
      </w:tabs>
      <w:snapToGrid w:val="0"/>
      <w:jc w:val="left"/>
    </w:pPr>
    <w:rPr>
      <w:kern w:val="0"/>
      <w:sz w:val="18"/>
      <w:szCs w:val="18"/>
    </w:rPr>
  </w:style>
  <w:style w:type="paragraph" w:styleId="10">
    <w:name w:val="header"/>
    <w:basedOn w:val="1"/>
    <w:link w:val="3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link w:val="6"/>
    <w:qFormat/>
    <w:uiPriority w:val="99"/>
    <w:rPr>
      <w:rFonts w:ascii="Times New Roman" w:hAnsi="Times New Roman" w:eastAsia="宋体" w:cs="Times New Roman"/>
    </w:rPr>
  </w:style>
  <w:style w:type="character" w:customStyle="1" w:styleId="23">
    <w:name w:val="标题 3 字符"/>
    <w:link w:val="5"/>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link w:val="2"/>
    <w:qFormat/>
    <w:uiPriority w:val="1"/>
    <w:rPr>
      <w:rFonts w:ascii="宋体" w:hAnsi="Times New Roman" w:eastAsia="宋体" w:cs="Times New Roman"/>
      <w:kern w:val="0"/>
      <w:sz w:val="20"/>
      <w:szCs w:val="21"/>
    </w:rPr>
  </w:style>
  <w:style w:type="character" w:customStyle="1" w:styleId="27">
    <w:name w:val="脚注文本 字符"/>
    <w:link w:val="11"/>
    <w:semiHidden/>
    <w:qFormat/>
    <w:uiPriority w:val="99"/>
    <w:rPr>
      <w:rFonts w:ascii="Times New Roman" w:hAnsi="Times New Roman" w:eastAsia="宋体" w:cs="Times New Roman"/>
      <w:kern w:val="2"/>
      <w:sz w:val="18"/>
      <w:szCs w:val="18"/>
    </w:rPr>
  </w:style>
  <w:style w:type="character" w:customStyle="1" w:styleId="28">
    <w:name w:val="批注主题 字符"/>
    <w:link w:val="14"/>
    <w:semiHidden/>
    <w:qFormat/>
    <w:uiPriority w:val="99"/>
    <w:rPr>
      <w:rFonts w:ascii="Times New Roman" w:hAnsi="Times New Roman" w:eastAsia="宋体" w:cs="Times New Roman"/>
      <w:b/>
      <w:bCs/>
    </w:rPr>
  </w:style>
  <w:style w:type="character" w:customStyle="1" w:styleId="29">
    <w:name w:val="日期 字符"/>
    <w:basedOn w:val="17"/>
    <w:link w:val="7"/>
    <w:semiHidden/>
    <w:qFormat/>
    <w:uiPriority w:val="99"/>
    <w:rPr>
      <w:rFonts w:ascii="Times New Roman" w:hAnsi="Times New Roman" w:eastAsia="宋体" w:cs="Times New Roman"/>
    </w:rPr>
  </w:style>
  <w:style w:type="character" w:customStyle="1" w:styleId="30">
    <w:name w:val="标题 1 字符"/>
    <w:link w:val="3"/>
    <w:qFormat/>
    <w:uiPriority w:val="1"/>
    <w:rPr>
      <w:rFonts w:ascii="黑体" w:hAnsi="Times New Roman" w:eastAsia="黑体" w:cs="Times New Roman"/>
      <w:b/>
      <w:bCs/>
      <w:kern w:val="0"/>
      <w:sz w:val="36"/>
      <w:szCs w:val="36"/>
    </w:rPr>
  </w:style>
  <w:style w:type="character" w:customStyle="1" w:styleId="31">
    <w:name w:val="页脚 字符"/>
    <w:link w:val="9"/>
    <w:qFormat/>
    <w:uiPriority w:val="99"/>
    <w:rPr>
      <w:rFonts w:ascii="Times New Roman" w:hAnsi="Times New Roman" w:eastAsia="宋体" w:cs="Times New Roman"/>
      <w:kern w:val="0"/>
      <w:sz w:val="18"/>
      <w:szCs w:val="18"/>
    </w:rPr>
  </w:style>
  <w:style w:type="character" w:customStyle="1" w:styleId="32">
    <w:name w:val="页眉 字符"/>
    <w:link w:val="10"/>
    <w:qFormat/>
    <w:uiPriority w:val="99"/>
    <w:rPr>
      <w:rFonts w:ascii="Times New Roman" w:hAnsi="Times New Roman" w:eastAsia="宋体" w:cs="Times New Roman"/>
      <w:kern w:val="0"/>
      <w:sz w:val="18"/>
      <w:szCs w:val="18"/>
    </w:rPr>
  </w:style>
  <w:style w:type="character" w:customStyle="1" w:styleId="33">
    <w:name w:val="批注框文本 字符"/>
    <w:link w:val="8"/>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Times New Roman"/>
      <w:b/>
      <w:bCs/>
      <w:kern w:val="0"/>
      <w:sz w:val="36"/>
      <w:szCs w:val="36"/>
    </w:rPr>
  </w:style>
  <w:style w:type="character" w:customStyle="1" w:styleId="39">
    <w:name w:val="标题 2 字符1"/>
    <w:link w:val="4"/>
    <w:qFormat/>
    <w:uiPriority w:val="9"/>
    <w:rPr>
      <w:rFonts w:ascii="Cambria" w:hAnsi="Cambria" w:eastAsia="宋体" w:cs="Times New Roman"/>
      <w:b/>
      <w:bCs/>
      <w:kern w:val="0"/>
      <w:sz w:val="32"/>
      <w:szCs w:val="32"/>
    </w:rPr>
  </w:style>
  <w:style w:type="character" w:customStyle="1" w:styleId="40">
    <w:name w:val="标题 3 字符1"/>
    <w:link w:val="5"/>
    <w:qFormat/>
    <w:uiPriority w:val="1"/>
    <w:rPr>
      <w:rFonts w:ascii="宋体" w:hAnsi="Times New Roman" w:eastAsia="宋体" w:cs="Times New Roman"/>
      <w:b/>
      <w:bCs/>
      <w:kern w:val="0"/>
      <w:sz w:val="20"/>
      <w:szCs w:val="21"/>
    </w:rPr>
  </w:style>
  <w:style w:type="character" w:customStyle="1" w:styleId="41">
    <w:name w:val="批注文字 字符1"/>
    <w:link w:val="6"/>
    <w:qFormat/>
    <w:uiPriority w:val="99"/>
    <w:rPr>
      <w:rFonts w:ascii="Times New Roman" w:hAnsi="Times New Roman" w:eastAsia="宋体" w:cs="Times New Roman"/>
    </w:rPr>
  </w:style>
  <w:style w:type="character" w:customStyle="1" w:styleId="42">
    <w:name w:val="正文文本 字符1"/>
    <w:link w:val="2"/>
    <w:qFormat/>
    <w:uiPriority w:val="1"/>
    <w:rPr>
      <w:rFonts w:ascii="宋体" w:hAnsi="Times New Roman" w:eastAsia="宋体" w:cs="Times New Roman"/>
      <w:kern w:val="0"/>
      <w:sz w:val="2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kern w:val="0"/>
      <w:sz w:val="18"/>
      <w:szCs w:val="18"/>
    </w:rPr>
  </w:style>
  <w:style w:type="character" w:customStyle="1" w:styleId="45">
    <w:name w:val="页脚 字符1"/>
    <w:link w:val="9"/>
    <w:qFormat/>
    <w:uiPriority w:val="99"/>
    <w:rPr>
      <w:rFonts w:ascii="Times New Roman" w:hAnsi="Times New Roman" w:eastAsia="宋体" w:cs="Times New Roman"/>
      <w:kern w:val="0"/>
      <w:sz w:val="18"/>
      <w:szCs w:val="18"/>
    </w:rPr>
  </w:style>
  <w:style w:type="character" w:customStyle="1" w:styleId="46">
    <w:name w:val="页眉 字符1"/>
    <w:link w:val="10"/>
    <w:qFormat/>
    <w:uiPriority w:val="99"/>
    <w:rPr>
      <w:rFonts w:ascii="Times New Roman" w:hAnsi="Times New Roman" w:eastAsia="宋体" w:cs="Times New Roman"/>
      <w:kern w:val="0"/>
      <w:sz w:val="18"/>
      <w:szCs w:val="18"/>
    </w:rPr>
  </w:style>
  <w:style w:type="character" w:customStyle="1" w:styleId="47">
    <w:name w:val="脚注文本 字符2"/>
    <w:link w:val="11"/>
    <w:semiHidden/>
    <w:qFormat/>
    <w:uiPriority w:val="99"/>
    <w:rPr>
      <w:rFonts w:ascii="Times New Roman" w:hAnsi="Times New Roman" w:eastAsia="宋体" w:cs="Times New Roman"/>
      <w:sz w:val="18"/>
      <w:szCs w:val="18"/>
    </w:rPr>
  </w:style>
  <w:style w:type="character" w:customStyle="1" w:styleId="48">
    <w:name w:val="批注主题 字符1"/>
    <w:link w:val="14"/>
    <w:semiHidden/>
    <w:qFormat/>
    <w:uiPriority w:val="99"/>
    <w:rPr>
      <w:rFonts w:ascii="Times New Roman" w:hAnsi="Times New Roman" w:eastAsia="宋体" w:cs="Times New Roman"/>
      <w:b/>
      <w:bCs/>
    </w:rPr>
  </w:style>
  <w:style w:type="character" w:customStyle="1" w:styleId="49">
    <w:name w:val="未处理的提及1"/>
    <w:unhideWhenUsed/>
    <w:qFormat/>
    <w:uiPriority w:val="99"/>
    <w:rPr>
      <w:rFonts w:ascii="Times New Roman" w:hAnsi="Times New Roman" w:eastAsia="宋体" w:cs="Times New Roman"/>
      <w:color w:val="605E5C"/>
      <w:shd w:val="clear" w:color="auto" w:fill="E1DFDD"/>
    </w:rPr>
  </w:style>
  <w:style w:type="paragraph" w:customStyle="1" w:styleId="50">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51">
    <w:name w:val="修订1"/>
    <w:semiHidden/>
    <w:qFormat/>
    <w:uiPriority w:val="99"/>
    <w:rPr>
      <w:rFonts w:ascii="Times New Roman" w:hAnsi="Times New Roman" w:eastAsia="宋体" w:cs="Times New Roman"/>
      <w:kern w:val="2"/>
      <w:sz w:val="21"/>
      <w:szCs w:val="22"/>
      <w:lang w:val="en-US" w:eastAsia="zh-CN" w:bidi="ar-SA"/>
    </w:rPr>
  </w:style>
  <w:style w:type="character" w:customStyle="1" w:styleId="52">
    <w:name w:val="脚注文本 Char"/>
    <w:semiHidden/>
    <w:qFormat/>
    <w:uiPriority w:val="99"/>
    <w:rPr>
      <w:rFonts w:ascii="Times New Roman" w:hAnsi="Times New Roman" w:eastAsia="宋体" w:cs="Times New Roman"/>
      <w:kern w:val="2"/>
      <w:sz w:val="18"/>
      <w:szCs w:val="18"/>
    </w:rPr>
  </w:style>
  <w:style w:type="character" w:customStyle="1" w:styleId="53">
    <w:name w:val="markedcontent"/>
    <w:qFormat/>
    <w:uiPriority w:val="0"/>
    <w:rPr>
      <w:rFonts w:ascii="Times New Roman" w:hAnsi="Times New Roman" w:eastAsia="宋体" w:cs="Times New Roman"/>
    </w:rPr>
  </w:style>
  <w:style w:type="character" w:customStyle="1" w:styleId="54">
    <w:name w:val="fontstyle01"/>
    <w:qFormat/>
    <w:uiPriority w:val="0"/>
    <w:rPr>
      <w:rFonts w:hint="eastAsia" w:ascii="宋体" w:hAnsi="宋体" w:eastAsia="宋体" w:cs="Times New Roman"/>
      <w:color w:val="000000"/>
      <w:sz w:val="22"/>
      <w:szCs w:val="22"/>
    </w:rPr>
  </w:style>
  <w:style w:type="character" w:styleId="55">
    <w:name w:val="Placeholder Text"/>
    <w:basedOn w:val="17"/>
    <w:unhideWhenUsed/>
    <w:qFormat/>
    <w:uiPriority w:val="99"/>
    <w:rPr>
      <w:rFonts w:ascii="Times New Roman" w:hAnsi="Times New Roman" w:eastAsia="宋体" w:cs="Times New Roman"/>
      <w:color w:val="808080"/>
    </w:rPr>
  </w:style>
  <w:style w:type="paragraph" w:customStyle="1" w:styleId="56">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57">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58">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59">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21814</Words>
  <Characters>22616</Characters>
  <Lines>243</Lines>
  <Paragraphs>68</Paragraphs>
  <TotalTime>31</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2025-10-16T03:15:09Z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