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w:t>
      </w:r>
      <w:r>
        <w:rPr>
          <w:rFonts w:hint="eastAsia" w:ascii="楷体" w:hAnsi="楷体" w:eastAsia="楷体"/>
          <w:b/>
          <w:color w:val="auto"/>
          <w:sz w:val="28"/>
          <w:szCs w:val="28"/>
          <w:lang w:val="en-US" w:eastAsia="zh-CN"/>
        </w:rPr>
        <w:t>现金5</w:t>
      </w:r>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664D79"/>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EF6FB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A50F2"/>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4C15EA"/>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AC1004"/>
    <w:rsid w:val="10BD5C09"/>
    <w:rsid w:val="10BE78BE"/>
    <w:rsid w:val="10C26C60"/>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DC5695"/>
    <w:rsid w:val="13E575F5"/>
    <w:rsid w:val="13EC1236"/>
    <w:rsid w:val="13F628A9"/>
    <w:rsid w:val="13FF11B0"/>
    <w:rsid w:val="14005205"/>
    <w:rsid w:val="1404363E"/>
    <w:rsid w:val="140825AB"/>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87148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28B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1590C"/>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50334"/>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52E96"/>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9F46F6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5D59C0"/>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34695"/>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ED13F2"/>
    <w:rsid w:val="56F160AC"/>
    <w:rsid w:val="56F246C4"/>
    <w:rsid w:val="570E463B"/>
    <w:rsid w:val="57117464"/>
    <w:rsid w:val="571E565A"/>
    <w:rsid w:val="571F0743"/>
    <w:rsid w:val="572068B0"/>
    <w:rsid w:val="573904D6"/>
    <w:rsid w:val="57602C1A"/>
    <w:rsid w:val="57634243"/>
    <w:rsid w:val="5766483B"/>
    <w:rsid w:val="576A6F9F"/>
    <w:rsid w:val="576F2FD6"/>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94076"/>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1A07DE"/>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870F9"/>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416D98"/>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4539</Words>
  <Characters>4541</Characters>
  <Lines>243</Lines>
  <Paragraphs>68</Paragraphs>
  <TotalTime>12</TotalTime>
  <ScaleCrop>false</ScaleCrop>
  <LinksUpToDate>false</LinksUpToDate>
  <CharactersWithSpaces>4741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2025-10-16T02:38:57Z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