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bookmarkStart w:id="0" w:name="_GoBack"/>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恒源最短持有</w:t>
      </w:r>
      <w:r>
        <w:rPr>
          <w:rFonts w:hint="eastAsia" w:ascii="楷体" w:hAnsi="楷体" w:eastAsia="楷体"/>
          <w:b/>
          <w:color w:val="auto"/>
          <w:sz w:val="28"/>
          <w:szCs w:val="28"/>
          <w:lang w:val="en-US" w:eastAsia="zh-CN"/>
        </w:rPr>
        <w:t>30</w:t>
      </w:r>
      <w:r>
        <w:rPr>
          <w:rFonts w:hint="eastAsia" w:ascii="楷体" w:hAnsi="楷体" w:eastAsia="楷体"/>
          <w:b/>
          <w:color w:val="auto"/>
          <w:sz w:val="28"/>
          <w:szCs w:val="28"/>
        </w:rPr>
        <w:t>天”理财产品</w:t>
      </w:r>
      <w:bookmarkEnd w:id="0"/>
      <w:r>
        <w:rPr>
          <w:rFonts w:hint="eastAsia" w:ascii="楷体" w:hAnsi="楷体" w:eastAsia="楷体"/>
          <w:b/>
          <w:color w:val="auto"/>
          <w:sz w:val="28"/>
          <w:szCs w:val="28"/>
        </w:rPr>
        <w:t>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br w:type="page"/>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恒源最短持有30天</w:t>
      </w:r>
      <w:r>
        <w:rPr>
          <w:rFonts w:hint="eastAsia" w:ascii="楷体" w:hAnsi="楷体" w:eastAsia="楷体"/>
          <w:b/>
          <w:color w:val="auto"/>
          <w:sz w:val="28"/>
          <w:szCs w:val="28"/>
          <w:highlight w:val="none"/>
        </w:rPr>
        <w:t>”理财产品说明书</w:t>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2025年9月版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5"/>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等。请仔细阅读《“苏银理财恒源最短持有30天”理财产品风险揭示书》的“风险揭示”部分。</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苏银理财恒源最短持有30天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Z7003123000194，投资者可依据该编码在中国理财网www.chinawealth.com.cn查询产品信息。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E份额：苏银理财恒源最短持有30天E/J02914</w:t>
            </w:r>
          </w:p>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H份额：苏银理财恒源最短持有30天H/J03329</w:t>
            </w:r>
          </w:p>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JS份额：苏银理财恒源最短持有30天JS鑫福款/J03394</w:t>
            </w:r>
          </w:p>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北部湾银行专属</w:t>
            </w:r>
            <w:r>
              <w:rPr>
                <w:rFonts w:hint="eastAsia" w:ascii="楷体" w:hAnsi="楷体" w:eastAsia="楷体" w:cs="宋体"/>
                <w:spacing w:val="-2"/>
                <w:sz w:val="18"/>
                <w:szCs w:val="18"/>
                <w:highlight w:val="none"/>
                <w:lang w:val="en-US" w:eastAsia="zh-CN"/>
              </w:rPr>
              <w:t>份额：苏银理财恒源最短持有30天（北部湾银行专属）/J07238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本产品计划发行规模为20000万元，管理人有权根据实际需要调整计划发行规模。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E/H/北部湾银行专属</w:t>
            </w:r>
            <w:r>
              <w:rPr>
                <w:rFonts w:hint="eastAsia" w:ascii="楷体" w:hAnsi="楷体" w:eastAsia="楷体"/>
                <w:sz w:val="18"/>
                <w:szCs w:val="18"/>
                <w:highlight w:val="none"/>
              </w:rPr>
              <w:t>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0.01元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0.01元的整数倍；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JS份额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1000元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0.01元的整数倍；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2023年12月7日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2023年12月14日。</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2023年12月15日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2033年12月30日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2023年12月15日-2024年1月12日，封闭运作期内不可申购/赎回。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本产品封闭运作期结束后，自2024年1月13日起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default"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E份额：1.70%-2.60%；H份额：1.80%-2.70%；JS份额：1.75%-2.65%；北部湾银行专属份额：1.75%-2.65%。</w:t>
            </w:r>
          </w:p>
          <w:p>
            <w:pPr>
              <w:keepNext w:val="0"/>
              <w:keepLines w:val="0"/>
              <w:pageBreakBefore w:val="0"/>
              <w:widowControl w:val="0"/>
              <w:kinsoku/>
              <w:wordWrap/>
              <w:overflowPunct/>
              <w:topLinePunct w:val="0"/>
              <w:autoSpaceDE/>
              <w:autoSpaceDN/>
              <w:bidi w:val="0"/>
              <w:adjustRightInd/>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4"/>
              <w:keepNext w:val="0"/>
              <w:keepLines w:val="0"/>
              <w:pageBreakBefore w:val="0"/>
              <w:widowControl w:val="0"/>
              <w:kinsoku/>
              <w:wordWrap/>
              <w:overflowPunct/>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E/H/JS</w:t>
            </w:r>
            <w:r>
              <w:rPr>
                <w:rFonts w:hint="eastAsia" w:ascii="楷体" w:hAnsi="楷体" w:eastAsia="楷体" w:cs="宋体"/>
                <w:spacing w:val="-2"/>
                <w:sz w:val="18"/>
                <w:szCs w:val="18"/>
                <w:highlight w:val="none"/>
              </w:rPr>
              <w:t>份额0.</w:t>
            </w:r>
            <w:r>
              <w:rPr>
                <w:rFonts w:hint="eastAsia" w:ascii="楷体" w:hAnsi="楷体" w:eastAsia="楷体" w:cs="宋体"/>
                <w:spacing w:val="-2"/>
                <w:sz w:val="18"/>
                <w:szCs w:val="18"/>
                <w:highlight w:val="none"/>
                <w:lang w:val="en-US" w:eastAsia="zh-CN"/>
              </w:rPr>
              <w:t>20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，北部湾银行专属份额</w:t>
            </w:r>
            <w:r>
              <w:rPr>
                <w:rFonts w:hint="eastAsia" w:ascii="楷体" w:hAnsi="楷体" w:eastAsia="楷体" w:cs="宋体"/>
                <w:spacing w:val="-2"/>
                <w:sz w:val="18"/>
                <w:szCs w:val="18"/>
                <w:highlight w:val="none"/>
                <w:lang w:val="en-US" w:eastAsia="zh-CN"/>
              </w:rPr>
              <w:t>0.30%。</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3.投资管理费率（年化）：E份额0.60%，H份额0.50%，JS份额0.55%，</w:t>
            </w:r>
            <w:r>
              <w:rPr>
                <w:rFonts w:hint="eastAsia" w:ascii="楷体" w:hAnsi="楷体" w:eastAsia="楷体" w:cs="宋体"/>
                <w:spacing w:val="-2"/>
                <w:sz w:val="18"/>
                <w:szCs w:val="18"/>
                <w:highlight w:val="none"/>
                <w:lang w:eastAsia="zh-CN"/>
              </w:rPr>
              <w:t>北部湾银行专属份额0.</w:t>
            </w:r>
            <w:r>
              <w:rPr>
                <w:rFonts w:hint="eastAsia" w:ascii="楷体" w:hAnsi="楷体" w:eastAsia="楷体" w:cs="宋体"/>
                <w:spacing w:val="-2"/>
                <w:sz w:val="18"/>
                <w:szCs w:val="18"/>
                <w:highlight w:val="none"/>
                <w:lang w:val="en-US" w:eastAsia="zh-CN"/>
              </w:rPr>
              <w:t>45</w:t>
            </w:r>
            <w:r>
              <w:rPr>
                <w:rFonts w:hint="eastAsia" w:ascii="楷体" w:hAnsi="楷体" w:eastAsia="楷体" w:cs="宋体"/>
                <w:spacing w:val="-2"/>
                <w:sz w:val="18"/>
                <w:szCs w:val="18"/>
                <w:highlight w:val="none"/>
                <w:lang w:eastAsia="zh-CN"/>
              </w:rPr>
              <w:t>%。</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无。</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上海银行股份有限公司/北京农村商业银行股份有限公司/嘉兴银行股份有限公司/郑州银行股份有限公司/杭州联合农村商业银行股份有限公司/浙江绍兴瑞丰农村商业银行股份有限公司/浙江龙湾农村商业银行股份有限公司/浙江乐清农村商业银行股份有限公司/浙江萧山农村商业银行股份有限公司/宁波慈溪农村商业银行股份有限公司/浙江瑞安农村商业银行股份有限公司/浙江温州瓯海农村商业银行股份有限公司/九江银行股份有限公司/宁波鄞州农村商业银行股份有限公司/莱商银行股份有限公司/浙江金华成泰农村商业银行股份有限公司/浙江永康农村商业银行股份有限公司/浙江武义农村商业银行股份有限公司/浙江衢州衢江农村商业银行股份有限公司/浙江青田农村商业银行股份有限公司/浙江临安农村商业银行股份有限公司/浙江镇海农村商业银行股份有限公司/浙江永嘉农村商业银行股份有限公司/浙江苍南农村商业银行股份有限公司/浙江禾城农村商业银行股份有限公司/浙江嘉善农村商业银行股份有限公司/浙江平湖农村商业银行股份有限公司/浙江海盐农村商业银行股份有限公司/浙江桐乡农村商业银行股份有限公司/浙江长兴农村商业银行股份有限公司/浙江安吉农村商业银行股份有限公司/浙江上虞农村商业银行股份有限公司/兴业银行股份有限公司/上海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苏州银行股份有限公司/浙江绍兴瑞丰农村商业银行股份有限公司/宁波慈溪农村商业银行股份有限公司/浙江温州瓯海农村商业银行股份有限公司/浙江青田农村商业银行股份有限公司/浙江平湖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苏州农村商业银行股份有限公司/江苏扬州农村商业银行股份有限公司/江苏阜宁农村商业银行股份有限公司/江苏东台农村商业银行股份有限公司/江苏泰兴农村商业银行股份有限公司/江苏扬中农村商业银行股份有限公司/江苏靖江农村商业银行股份有限公司/江苏灌南农村商业银行股份有限公司/江苏洪泽农村商业银行股份有限公司/江苏金湖农村商业银行股份有限公司/江苏沛县农村商业银行股份有限公司/江苏灌云农村商业银行股份有限公司/江苏淮安农村商业银行股份有限公司/江苏涟水农村商业银行股份有限公司/江苏东海农村商业银行股份有限公司/连云港东方农村商业银行股份有限公司/江苏句容农村商业银行股份有限公司/江苏泗阳农村商业银行股份有限公司/江苏盱眙农村商业银行股份有限公司/江苏镇江农村商业银行股份有限公司/江苏宜兴农村商业银行股份有限公司/江苏溧水农村商业银行股份有限公司/江苏大丰农村商业银行股份有限公司/江苏海安农村商业银行股份有限公司/江苏仪征农村商业银行股份有限公司/江苏宝应农村商业银行股份有限公司/江苏泰州农村商业银行股份有限公司/江苏民丰农村商业银行股份有限公司/江苏高淳农村商业银行股份有限公司/江苏赣榆农村商业银行股份有限公司/江苏丰县农村商业银行股份有限公司/江苏建湖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highlight w:val="none"/>
          <w:lang w:val="en-US"/>
        </w:rPr>
      </w:pPr>
      <w:r>
        <w:rPr>
          <w:rFonts w:hint="eastAsia" w:ascii="楷体" w:hAnsi="楷体" w:eastAsia="楷体"/>
          <w:b w:val="0"/>
          <w:bCs w:val="0"/>
          <w:sz w:val="21"/>
          <w:szCs w:val="21"/>
          <w:highlight w:val="none"/>
          <w:u w:val="none"/>
          <w:lang w:val="en-US" w:eastAsia="zh-CN"/>
        </w:rPr>
        <w:t>北部湾银行专属份额：广西北部湾银行股份有限公司</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直接或间接投资于现金、银行存款、债券回购、中央银行票据、同业存单、拆借、货币市场基金、债券、在银行间市场和证券交易所市场发行的资产支持证券和监管机构允许投资的其他资产。具体资产投资比例为：固定收益类资产占产品资产总值比例不低于80%，其他符合监管要求的资产占产品资产总值比例不高于20%。</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5,813万元。目前，公司注册资本人民币110亿元，华润金控投资有限公司持有公司51%股权，深圳市投资控股有限公司持有公司49%股权。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东方财富证券股份有限公司：东方财富证券股份有限公司，简称“东方财富证券”，是东方财富信息股份有限公司旗下的持牌证券公司，始终坚持用户第一，注重科技赋能、投研管理建设，旨在为客户提供全方位的财富管理服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云南国际信托有限公司：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紫金信托有限责任公司：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无。</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6.其他资产：按公允价值进行估值，采用合理的估值技术或监管机构认可的估值方法进行估值。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2050"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2051"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2"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7">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6">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20">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2"/>
  </w:num>
  <w:num w:numId="3">
    <w:abstractNumId w:val="22"/>
  </w:num>
  <w:num w:numId="4">
    <w:abstractNumId w:val="8"/>
  </w:num>
  <w:num w:numId="5">
    <w:abstractNumId w:val="17"/>
  </w:num>
  <w:num w:numId="6">
    <w:abstractNumId w:val="20"/>
  </w:num>
  <w:num w:numId="7">
    <w:abstractNumId w:val="5"/>
  </w:num>
  <w:num w:numId="8">
    <w:abstractNumId w:val="4"/>
  </w:num>
  <w:num w:numId="9">
    <w:abstractNumId w:val="12"/>
  </w:num>
  <w:num w:numId="10">
    <w:abstractNumId w:val="7"/>
  </w:num>
  <w:num w:numId="11">
    <w:abstractNumId w:val="6"/>
  </w:num>
  <w:num w:numId="12">
    <w:abstractNumId w:val="19"/>
  </w:num>
  <w:num w:numId="13">
    <w:abstractNumId w:val="23"/>
  </w:num>
  <w:num w:numId="14">
    <w:abstractNumId w:val="11"/>
  </w:num>
  <w:num w:numId="15">
    <w:abstractNumId w:val="21"/>
  </w:num>
  <w:num w:numId="16">
    <w:abstractNumId w:val="13"/>
  </w:num>
  <w:num w:numId="17">
    <w:abstractNumId w:val="1"/>
  </w:num>
  <w:num w:numId="18">
    <w:abstractNumId w:val="0"/>
  </w:num>
  <w:num w:numId="19">
    <w:abstractNumId w:val="24"/>
  </w:num>
  <w:num w:numId="20">
    <w:abstractNumId w:val="15"/>
  </w:num>
  <w:num w:numId="21">
    <w:abstractNumId w:val="3"/>
  </w:num>
  <w:num w:numId="22">
    <w:abstractNumId w:val="16"/>
  </w:num>
  <w:num w:numId="23">
    <w:abstractNumId w:val="9"/>
  </w:num>
  <w:num w:numId="24">
    <w:abstractNumId w:val="1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C7CD4"/>
    <w:rsid w:val="46EC7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5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54"/>
    <w:unhideWhenUsed/>
    <w:qFormat/>
    <w:uiPriority w:val="99"/>
    <w:pPr>
      <w:ind w:left="100" w:leftChars="2500"/>
    </w:pPr>
  </w:style>
  <w:style w:type="paragraph" w:styleId="8">
    <w:name w:val="Balloon Text"/>
    <w:basedOn w:val="1"/>
    <w:link w:val="55"/>
    <w:unhideWhenUsed/>
    <w:qFormat/>
    <w:uiPriority w:val="99"/>
    <w:rPr>
      <w:kern w:val="0"/>
      <w:sz w:val="18"/>
      <w:szCs w:val="18"/>
    </w:rPr>
  </w:style>
  <w:style w:type="paragraph" w:styleId="9">
    <w:name w:val="footer"/>
    <w:basedOn w:val="1"/>
    <w:link w:val="56"/>
    <w:unhideWhenUsed/>
    <w:qFormat/>
    <w:uiPriority w:val="99"/>
    <w:pPr>
      <w:tabs>
        <w:tab w:val="center" w:pos="4153"/>
        <w:tab w:val="right" w:pos="8306"/>
      </w:tabs>
      <w:snapToGrid w:val="0"/>
      <w:jc w:val="left"/>
    </w:pPr>
    <w:rPr>
      <w:kern w:val="0"/>
      <w:sz w:val="18"/>
      <w:szCs w:val="18"/>
    </w:rPr>
  </w:style>
  <w:style w:type="paragraph" w:styleId="10">
    <w:name w:val="header"/>
    <w:basedOn w:val="1"/>
    <w:link w:val="5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正文文本 Char"/>
    <w:link w:val="2"/>
    <w:qFormat/>
    <w:uiPriority w:val="1"/>
    <w:rPr>
      <w:rFonts w:ascii="宋体" w:hAnsi="Times New Roman" w:eastAsia="宋体" w:cs="宋体"/>
      <w:kern w:val="0"/>
      <w:szCs w:val="21"/>
    </w:rPr>
  </w:style>
  <w:style w:type="character" w:customStyle="1" w:styleId="50">
    <w:name w:val="标题 1 Char"/>
    <w:link w:val="3"/>
    <w:qFormat/>
    <w:uiPriority w:val="1"/>
    <w:rPr>
      <w:rFonts w:ascii="黑体" w:hAnsi="Times New Roman" w:eastAsia="黑体" w:cs="黑体"/>
      <w:b/>
      <w:bCs/>
      <w:kern w:val="0"/>
      <w:sz w:val="36"/>
      <w:szCs w:val="36"/>
    </w:rPr>
  </w:style>
  <w:style w:type="character" w:customStyle="1" w:styleId="51">
    <w:name w:val="标题 2 Char"/>
    <w:link w:val="4"/>
    <w:qFormat/>
    <w:uiPriority w:val="9"/>
    <w:rPr>
      <w:rFonts w:ascii="Cambria" w:hAnsi="Cambria" w:eastAsia="宋体" w:cs="Times New Roman"/>
      <w:b/>
      <w:bCs/>
      <w:sz w:val="32"/>
      <w:szCs w:val="32"/>
    </w:rPr>
  </w:style>
  <w:style w:type="character" w:customStyle="1" w:styleId="52">
    <w:name w:val="标题 3 Char"/>
    <w:link w:val="5"/>
    <w:qFormat/>
    <w:uiPriority w:val="1"/>
    <w:rPr>
      <w:rFonts w:ascii="宋体" w:hAnsi="Times New Roman" w:eastAsia="宋体" w:cs="宋体"/>
      <w:b/>
      <w:bCs/>
      <w:kern w:val="0"/>
      <w:szCs w:val="21"/>
    </w:rPr>
  </w:style>
  <w:style w:type="character" w:customStyle="1" w:styleId="53">
    <w:name w:val="批注文字 Char"/>
    <w:link w:val="6"/>
    <w:qFormat/>
    <w:uiPriority w:val="99"/>
    <w:rPr>
      <w:rFonts w:ascii="Times New Roman" w:hAnsi="Times New Roman" w:eastAsia="宋体" w:cs="Times New Roman"/>
      <w:kern w:val="2"/>
      <w:sz w:val="21"/>
      <w:szCs w:val="22"/>
    </w:rPr>
  </w:style>
  <w:style w:type="character" w:customStyle="1" w:styleId="54">
    <w:name w:val="日期 Char"/>
    <w:basedOn w:val="17"/>
    <w:link w:val="7"/>
    <w:semiHidden/>
    <w:qFormat/>
    <w:uiPriority w:val="99"/>
    <w:rPr>
      <w:rFonts w:ascii="Times New Roman" w:hAnsi="Times New Roman" w:eastAsia="宋体" w:cs="Times New Roman"/>
    </w:rPr>
  </w:style>
  <w:style w:type="character" w:customStyle="1" w:styleId="55">
    <w:name w:val="批注框文本 Char"/>
    <w:link w:val="8"/>
    <w:semiHidden/>
    <w:qFormat/>
    <w:uiPriority w:val="99"/>
    <w:rPr>
      <w:rFonts w:ascii="Times New Roman" w:hAnsi="Times New Roman" w:eastAsia="宋体" w:cs="Times New Roman"/>
      <w:sz w:val="18"/>
      <w:szCs w:val="18"/>
    </w:rPr>
  </w:style>
  <w:style w:type="character" w:customStyle="1" w:styleId="56">
    <w:name w:val="页脚 Char"/>
    <w:link w:val="9"/>
    <w:qFormat/>
    <w:uiPriority w:val="99"/>
    <w:rPr>
      <w:rFonts w:ascii="Times New Roman" w:hAnsi="Times New Roman" w:eastAsia="宋体" w:cs="Times New Roman"/>
      <w:sz w:val="18"/>
      <w:szCs w:val="18"/>
    </w:rPr>
  </w:style>
  <w:style w:type="character" w:customStyle="1" w:styleId="57">
    <w:name w:val="页眉 Char"/>
    <w:link w:val="10"/>
    <w:qFormat/>
    <w:uiPriority w:val="99"/>
    <w:rPr>
      <w:rFonts w:ascii="Times New Roman" w:hAnsi="Times New Roman" w:eastAsia="宋体" w:cs="Times New Roman"/>
      <w:sz w:val="18"/>
      <w:szCs w:val="18"/>
    </w:rPr>
  </w:style>
  <w:style w:type="character" w:customStyle="1" w:styleId="58">
    <w:name w:val="脚注文本 Char"/>
    <w:link w:val="11"/>
    <w:qFormat/>
    <w:uiPriority w:val="99"/>
    <w:rPr>
      <w:rFonts w:ascii="Times New Roman" w:hAnsi="Times New Roman" w:eastAsia="宋体" w:cs="Times New Roman"/>
      <w:kern w:val="2"/>
      <w:sz w:val="18"/>
      <w:szCs w:val="18"/>
    </w:rPr>
  </w:style>
  <w:style w:type="character" w:customStyle="1" w:styleId="59">
    <w:name w:val="批注主题 Char"/>
    <w:link w:val="14"/>
    <w:semiHidden/>
    <w:qFormat/>
    <w:uiPriority w:val="99"/>
    <w:rPr>
      <w:rFonts w:ascii="Times New Roman" w:hAnsi="Times New Roman" w:eastAsia="宋体" w:cs="Times New Roman"/>
      <w:b/>
      <w:bCs/>
      <w:kern w:val="2"/>
      <w:sz w:val="21"/>
      <w:szCs w:val="22"/>
    </w:rPr>
  </w:style>
  <w:style w:type="paragraph" w:customStyle="1" w:styleId="60">
    <w:name w:val="_Style 34"/>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2025-09-29T10:51:48Z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