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pageBreakBefore w:val="0"/>
        <w:wordWrap/>
        <w:topLinePunct w:val="0"/>
        <w:autoSpaceDE/>
        <w:autoSpaceDN/>
        <w:bidi w:val="0"/>
        <w:spacing w:before="0" w:beforeAutospacing="0" w:after="0" w:afterAutospacing="0" w:line="240" w:lineRule="auto"/>
        <w:jc w:val="center"/>
        <w:textAlignment w:val="auto"/>
        <w:rPr>
          <w:rFonts w:hint="eastAsia" w:ascii="楷体" w:hAnsi="楷体" w:eastAsia="楷体"/>
          <w:b/>
          <w:color w:val="auto"/>
          <w:sz w:val="28"/>
          <w:szCs w:val="28"/>
          <w:highlight w:val="none"/>
        </w:rPr>
      </w:pPr>
      <w:r>
        <w:rPr>
          <w:rFonts w:hint="eastAsia" w:ascii="楷体" w:hAnsi="楷体" w:eastAsia="楷体"/>
          <w:b/>
          <w:color w:val="auto"/>
          <w:sz w:val="28"/>
          <w:szCs w:val="28"/>
          <w:highlight w:val="none"/>
        </w:rPr>
        <w:t>“</w:t>
      </w:r>
      <w:r>
        <w:rPr>
          <w:rFonts w:hint="eastAsia" w:ascii="楷体" w:hAnsi="楷体" w:eastAsia="楷体"/>
          <w:b/>
          <w:color w:val="auto"/>
          <w:sz w:val="28"/>
          <w:szCs w:val="28"/>
          <w:highlight w:val="none"/>
          <w:lang w:eastAsia="zh-CN"/>
        </w:rPr>
        <w:t>苏银理财</w:t>
      </w:r>
      <w:r>
        <w:rPr>
          <w:rFonts w:hint="eastAsia" w:ascii="楷体" w:hAnsi="楷体" w:eastAsia="楷体"/>
          <w:b/>
          <w:color w:val="auto"/>
          <w:sz w:val="28"/>
          <w:szCs w:val="28"/>
          <w:highlight w:val="none"/>
          <w:lang w:val="en-US" w:eastAsia="zh-CN"/>
        </w:rPr>
        <w:t>恒源灵动最短持有14天21号</w:t>
      </w:r>
      <w:r>
        <w:rPr>
          <w:rFonts w:hint="eastAsia" w:ascii="楷体" w:hAnsi="楷体" w:eastAsia="楷体"/>
          <w:b/>
          <w:color w:val="auto"/>
          <w:sz w:val="28"/>
          <w:szCs w:val="28"/>
          <w:highlight w:val="none"/>
        </w:rPr>
        <w:t>”理财产品说明书</w:t>
      </w:r>
    </w:p>
    <w:p>
      <w:pPr>
        <w:pStyle w:val="12"/>
        <w:keepNext w:val="0"/>
        <w:keepLines w:val="0"/>
        <w:pageBreakBefore w:val="0"/>
        <w:wordWrap/>
        <w:topLinePunct w:val="0"/>
        <w:autoSpaceDE/>
        <w:autoSpaceDN/>
        <w:bidi w:val="0"/>
        <w:spacing w:before="0" w:beforeAutospacing="0" w:after="0" w:afterAutospacing="0" w:line="240" w:lineRule="auto"/>
        <w:jc w:val="center"/>
        <w:textAlignment w:val="auto"/>
        <w:rPr>
          <w:rFonts w:hint="eastAsia" w:ascii="楷体" w:hAnsi="楷体" w:eastAsia="楷体"/>
          <w:b/>
          <w:color w:val="auto"/>
          <w:sz w:val="28"/>
          <w:szCs w:val="28"/>
          <w:highlight w:val="none"/>
        </w:rPr>
      </w:pPr>
      <w:r>
        <w:rPr>
          <w:rFonts w:hint="eastAsia" w:ascii="楷体" w:hAnsi="楷体" w:eastAsia="楷体" w:cs="Times New Roman"/>
          <w:kern w:val="2"/>
          <w:sz w:val="21"/>
          <w:szCs w:val="21"/>
          <w:highlight w:val="none"/>
          <w:lang w:val="en-US" w:eastAsia="zh-CN" w:bidi="ar-SA"/>
        </w:rPr>
        <w:t>（</w:t>
      </w:r>
      <w:r>
        <w:rPr>
          <w:rFonts w:hint="eastAsia" w:ascii="楷体" w:hAnsi="楷体" w:eastAsia="楷体" w:cs="Times New Roman"/>
          <w:b/>
          <w:bCs/>
          <w:kern w:val="2"/>
          <w:sz w:val="21"/>
          <w:szCs w:val="21"/>
          <w:highlight w:val="none"/>
          <w:lang w:val="en-US" w:eastAsia="zh-CN" w:bidi="ar-SA"/>
        </w:rPr>
        <w:t>2025年10月版</w:t>
      </w:r>
      <w:r>
        <w:rPr>
          <w:rFonts w:hint="eastAsia" w:ascii="楷体" w:hAnsi="楷体" w:eastAsia="楷体" w:cs="Times New Roman"/>
          <w:kern w:val="2"/>
          <w:sz w:val="21"/>
          <w:szCs w:val="21"/>
          <w:highlight w:val="none"/>
          <w:lang w:val="en-US" w:eastAsia="zh-CN" w:bidi="ar-SA"/>
        </w:rPr>
        <w:t>）</w:t>
      </w:r>
    </w:p>
    <w:p>
      <w:pPr>
        <w:keepNext w:val="0"/>
        <w:keepLines w:val="0"/>
        <w:pageBreakBefore w:val="0"/>
        <w:wordWrap/>
        <w:topLinePunct w:val="0"/>
        <w:autoSpaceDE/>
        <w:autoSpaceDN/>
        <w:bidi w:val="0"/>
        <w:jc w:val="center"/>
        <w:textAlignment w:val="auto"/>
        <w:rPr>
          <w:rFonts w:hint="eastAsia" w:ascii="楷体" w:hAnsi="楷体" w:eastAsia="楷体" w:cs="宋体"/>
          <w:b/>
          <w:kern w:val="0"/>
          <w:sz w:val="24"/>
          <w:szCs w:val="24"/>
          <w:highlight w:val="none"/>
          <w:lang w:eastAsia="zh-CN"/>
        </w:rPr>
      </w:pPr>
      <w:r>
        <w:rPr>
          <w:rFonts w:hint="eastAsia" w:ascii="楷体" w:hAnsi="楷体" w:eastAsia="楷体" w:cs="宋体"/>
          <w:b/>
          <w:kern w:val="0"/>
          <w:sz w:val="24"/>
          <w:szCs w:val="24"/>
          <w:highlight w:val="none"/>
          <w:lang w:eastAsia="zh-CN"/>
        </w:rPr>
        <w:t>理财非存款、产品有风险、投资须谨慎</w:t>
      </w:r>
    </w:p>
    <w:p>
      <w:pPr>
        <w:keepNext w:val="0"/>
        <w:keepLines w:val="0"/>
        <w:pageBreakBefore w:val="0"/>
        <w:wordWrap/>
        <w:topLinePunct w:val="0"/>
        <w:autoSpaceDE/>
        <w:autoSpaceDN/>
        <w:bidi w:val="0"/>
        <w:textAlignment w:val="auto"/>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重要须知</w:t>
      </w:r>
    </w:p>
    <w:p>
      <w:pPr>
        <w:keepNext w:val="0"/>
        <w:keepLines w:val="0"/>
        <w:pageBreakBefore w:val="0"/>
        <w:numPr>
          <w:ilvl w:val="0"/>
          <w:numId w:val="1"/>
        </w:numPr>
        <w:wordWrap/>
        <w:topLinePunct w:val="0"/>
        <w:autoSpaceDE/>
        <w:autoSpaceDN/>
        <w:bidi w:val="0"/>
        <w:ind w:left="420" w:leftChars="0" w:hanging="420" w:firstLineChars="0"/>
        <w:textAlignment w:val="auto"/>
        <w:rPr>
          <w:rFonts w:ascii="楷体" w:hAnsi="楷体" w:eastAsia="楷体"/>
          <w:sz w:val="21"/>
          <w:szCs w:val="21"/>
          <w:highlight w:val="none"/>
        </w:rPr>
      </w:pPr>
      <w:r>
        <w:rPr>
          <w:rFonts w:hint="eastAsia" w:ascii="楷体" w:hAnsi="楷体" w:eastAsia="楷体"/>
          <w:sz w:val="21"/>
          <w:szCs w:val="21"/>
          <w:highlight w:val="none"/>
        </w:rPr>
        <w:t>在购买本理财产品前，投资者应确保自己完全理解该项投资的性质和所涉及的风险，详细了解和审慎评估该理财产品的</w:t>
      </w:r>
      <w:r>
        <w:rPr>
          <w:rFonts w:hint="eastAsia" w:ascii="楷体" w:hAnsi="楷体" w:eastAsia="楷体"/>
          <w:sz w:val="21"/>
          <w:szCs w:val="21"/>
          <w:highlight w:val="none"/>
          <w:lang w:val="en-US" w:eastAsia="zh-CN"/>
        </w:rPr>
        <w:t>投资范围</w:t>
      </w:r>
      <w:r>
        <w:rPr>
          <w:rFonts w:hint="eastAsia" w:ascii="楷体" w:hAnsi="楷体" w:eastAsia="楷体"/>
          <w:sz w:val="21"/>
          <w:szCs w:val="21"/>
          <w:highlight w:val="none"/>
        </w:rPr>
        <w:t>、风险类型等基本情况，在慎重考虑后自行决定购买与自身风险承受能力和资产管理需求匹配的理财产品。</w:t>
      </w:r>
    </w:p>
    <w:p>
      <w:pPr>
        <w:keepNext w:val="0"/>
        <w:keepLines w:val="0"/>
        <w:pageBreakBefore w:val="0"/>
        <w:numPr>
          <w:ilvl w:val="0"/>
          <w:numId w:val="1"/>
        </w:numPr>
        <w:wordWrap/>
        <w:topLinePunct w:val="0"/>
        <w:autoSpaceDE/>
        <w:autoSpaceDN/>
        <w:bidi w:val="0"/>
        <w:ind w:left="420" w:leftChars="0" w:hanging="420" w:firstLineChars="0"/>
        <w:textAlignment w:val="auto"/>
        <w:rPr>
          <w:rFonts w:hint="eastAsia" w:ascii="楷体" w:hAnsi="楷体" w:eastAsia="楷体" w:cs="Times New Roman"/>
          <w:b/>
          <w:sz w:val="21"/>
          <w:szCs w:val="21"/>
          <w:highlight w:val="none"/>
          <w:u w:val="single"/>
        </w:rPr>
      </w:pPr>
      <w:r>
        <w:rPr>
          <w:rFonts w:hint="eastAsia" w:ascii="楷体" w:hAnsi="楷体" w:eastAsia="楷体"/>
          <w:b/>
          <w:sz w:val="21"/>
          <w:szCs w:val="21"/>
          <w:highlight w:val="none"/>
          <w:u w:val="single"/>
        </w:rPr>
        <w:t>本理</w:t>
      </w:r>
      <w:r>
        <w:rPr>
          <w:rFonts w:hint="eastAsia" w:ascii="楷体" w:hAnsi="楷体" w:eastAsia="楷体" w:cs="Times New Roman"/>
          <w:b/>
          <w:sz w:val="21"/>
          <w:szCs w:val="21"/>
          <w:highlight w:val="none"/>
          <w:u w:val="single"/>
        </w:rPr>
        <w:t>财产品不保证本金及收益，您的本金可能因市场变动</w:t>
      </w:r>
      <w:r>
        <w:rPr>
          <w:rFonts w:hint="eastAsia" w:ascii="楷体" w:hAnsi="楷体" w:eastAsia="楷体" w:cs="Times New Roman"/>
          <w:b/>
          <w:sz w:val="21"/>
          <w:szCs w:val="21"/>
          <w:highlight w:val="none"/>
          <w:u w:val="single"/>
          <w:lang w:val="en-US" w:eastAsia="zh-CN"/>
        </w:rPr>
        <w:t>或者交易违约等事项</w:t>
      </w:r>
      <w:r>
        <w:rPr>
          <w:rFonts w:hint="eastAsia" w:ascii="楷体" w:hAnsi="楷体" w:eastAsia="楷体" w:cs="Times New Roman"/>
          <w:b/>
          <w:sz w:val="21"/>
          <w:szCs w:val="21"/>
          <w:highlight w:val="none"/>
          <w:u w:val="single"/>
        </w:rPr>
        <w:t>而蒙受相应损失，投资者应充分认识投资风险，谨慎投资</w:t>
      </w:r>
      <w:r>
        <w:rPr>
          <w:rFonts w:hint="eastAsia" w:ascii="楷体" w:hAnsi="楷体" w:eastAsia="楷体" w:cs="Times New Roman"/>
          <w:b/>
          <w:sz w:val="21"/>
          <w:szCs w:val="21"/>
          <w:highlight w:val="none"/>
          <w:u w:val="single"/>
          <w:lang w:eastAsia="zh-CN"/>
        </w:rPr>
        <w:t>。</w:t>
      </w:r>
    </w:p>
    <w:p>
      <w:pPr>
        <w:keepNext w:val="0"/>
        <w:keepLines w:val="0"/>
        <w:pageBreakBefore w:val="0"/>
        <w:numPr>
          <w:ilvl w:val="0"/>
          <w:numId w:val="1"/>
        </w:numPr>
        <w:wordWrap/>
        <w:topLinePunct w:val="0"/>
        <w:autoSpaceDE/>
        <w:autoSpaceDN/>
        <w:bidi w:val="0"/>
        <w:ind w:left="420" w:leftChars="0" w:hanging="420" w:firstLineChars="0"/>
        <w:textAlignment w:val="auto"/>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本理财产品过往业绩不代表其未来表现，不等于理财产品实际收益，投资须谨慎；理财非存款、产品有风险、投资须谨慎。</w:t>
      </w:r>
    </w:p>
    <w:p>
      <w:pPr>
        <w:keepNext w:val="0"/>
        <w:keepLines w:val="0"/>
        <w:pageBreakBefore w:val="0"/>
        <w:numPr>
          <w:ilvl w:val="0"/>
          <w:numId w:val="1"/>
        </w:numPr>
        <w:wordWrap/>
        <w:topLinePunct w:val="0"/>
        <w:autoSpaceDE/>
        <w:autoSpaceDN/>
        <w:bidi w:val="0"/>
        <w:ind w:left="420" w:leftChars="0" w:hanging="420" w:firstLineChars="0"/>
        <w:textAlignment w:val="auto"/>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本理财产品任何业绩比较基准</w:t>
      </w:r>
      <w:r>
        <w:rPr>
          <w:rFonts w:hint="eastAsia" w:ascii="楷体" w:hAnsi="楷体" w:eastAsia="楷体" w:cs="Times New Roman"/>
          <w:b/>
          <w:sz w:val="21"/>
          <w:szCs w:val="21"/>
          <w:highlight w:val="none"/>
          <w:u w:val="single"/>
          <w:lang w:val="en-US" w:eastAsia="zh-CN"/>
        </w:rPr>
        <w:t>及</w:t>
      </w:r>
      <w:r>
        <w:rPr>
          <w:rFonts w:hint="eastAsia" w:ascii="楷体" w:hAnsi="楷体" w:eastAsia="楷体" w:cs="Times New Roman"/>
          <w:b/>
          <w:sz w:val="21"/>
          <w:szCs w:val="21"/>
          <w:highlight w:val="none"/>
          <w:u w:val="single"/>
        </w:rPr>
        <w:t>类似表述均属不具有法律约束力的用语</w:t>
      </w:r>
      <w:r>
        <w:rPr>
          <w:rFonts w:hint="eastAsia" w:ascii="楷体" w:hAnsi="楷体" w:eastAsia="楷体" w:cs="Times New Roman"/>
          <w:b/>
          <w:sz w:val="21"/>
          <w:szCs w:val="21"/>
          <w:highlight w:val="none"/>
          <w:u w:val="single"/>
          <w:lang w:eastAsia="zh-CN"/>
        </w:rPr>
        <w:t>。</w:t>
      </w:r>
      <w:r>
        <w:rPr>
          <w:rFonts w:hint="eastAsia" w:ascii="楷体" w:hAnsi="楷体" w:eastAsia="楷体" w:cs="Times New Roman"/>
          <w:b/>
          <w:sz w:val="21"/>
          <w:szCs w:val="21"/>
          <w:highlight w:val="none"/>
          <w:u w:val="single"/>
        </w:rPr>
        <w:t>业绩比较基准</w:t>
      </w:r>
      <w:r>
        <w:rPr>
          <w:rFonts w:hint="eastAsia" w:ascii="楷体" w:hAnsi="楷体" w:eastAsia="楷体" w:cs="Times New Roman"/>
          <w:b/>
          <w:sz w:val="21"/>
          <w:szCs w:val="21"/>
          <w:highlight w:val="none"/>
          <w:u w:val="single"/>
          <w:lang w:val="en-US" w:eastAsia="zh-CN"/>
        </w:rPr>
        <w:t>为</w:t>
      </w:r>
      <w:r>
        <w:rPr>
          <w:rFonts w:hint="eastAsia" w:ascii="楷体" w:hAnsi="楷体" w:eastAsia="楷体" w:cs="Times New Roman"/>
          <w:b/>
          <w:sz w:val="21"/>
          <w:szCs w:val="21"/>
          <w:highlight w:val="none"/>
          <w:u w:val="single"/>
        </w:rPr>
        <w:t>管理人基于产品性质、投资策略、过往经验等因素对产品设定的投资目标。业绩比较基准不是预期收益率，不代表产品的未来表现和实际收益，不构成对产品收益的承诺。</w:t>
      </w:r>
    </w:p>
    <w:p>
      <w:pPr>
        <w:keepNext w:val="0"/>
        <w:keepLines w:val="0"/>
        <w:pageBreakBefore w:val="0"/>
        <w:numPr>
          <w:ilvl w:val="0"/>
          <w:numId w:val="1"/>
        </w:numPr>
        <w:wordWrap/>
        <w:topLinePunct w:val="0"/>
        <w:autoSpaceDE/>
        <w:autoSpaceDN/>
        <w:bidi w:val="0"/>
        <w:ind w:left="420" w:leftChars="0" w:hanging="420" w:firstLineChars="0"/>
        <w:textAlignment w:val="auto"/>
        <w:rPr>
          <w:rFonts w:hint="eastAsia" w:ascii="楷体" w:hAnsi="楷体" w:eastAsia="楷体"/>
          <w:sz w:val="21"/>
          <w:szCs w:val="21"/>
          <w:highlight w:val="none"/>
        </w:rPr>
      </w:pPr>
      <w:r>
        <w:rPr>
          <w:rFonts w:hint="eastAsia" w:ascii="楷体" w:hAnsi="楷体" w:eastAsia="楷体"/>
          <w:sz w:val="21"/>
          <w:szCs w:val="21"/>
          <w:highlight w:val="none"/>
        </w:rPr>
        <w:t>《风险揭示书》、《理财产品说明书》、《理财产品投资协议书》、《投资者权益须知》、《理财产品（代理）销售协议书》共同构成本理财产品完整的不可分割的理财产品合同。</w:t>
      </w:r>
    </w:p>
    <w:p>
      <w:pPr>
        <w:keepNext w:val="0"/>
        <w:keepLines w:val="0"/>
        <w:pageBreakBefore w:val="0"/>
        <w:numPr>
          <w:ilvl w:val="0"/>
          <w:numId w:val="1"/>
        </w:numPr>
        <w:wordWrap/>
        <w:topLinePunct w:val="0"/>
        <w:autoSpaceDE/>
        <w:autoSpaceDN/>
        <w:bidi w:val="0"/>
        <w:ind w:left="420" w:leftChars="0" w:hanging="420" w:firstLineChars="0"/>
        <w:textAlignment w:val="auto"/>
        <w:rPr>
          <w:rFonts w:hint="eastAsia" w:ascii="楷体" w:hAnsi="楷体" w:eastAsia="楷体"/>
          <w:sz w:val="21"/>
          <w:szCs w:val="21"/>
          <w:highlight w:val="none"/>
        </w:rPr>
      </w:pPr>
      <w:r>
        <w:rPr>
          <w:rFonts w:hint="eastAsia" w:ascii="楷体" w:hAnsi="楷体" w:eastAsia="楷体"/>
          <w:sz w:val="21"/>
          <w:szCs w:val="21"/>
          <w:highlight w:val="none"/>
        </w:rPr>
        <w:t>本理财产品涉及的主要风险包括政策风险、信用风险、市场风险、流动性风险、管理风险、操作风险、延期兑付风险、提前终止风险、信息传递风险、代销风险</w:t>
      </w:r>
      <w:r>
        <w:rPr>
          <w:rFonts w:hint="eastAsia" w:ascii="楷体" w:hAnsi="楷体" w:eastAsia="楷体"/>
          <w:sz w:val="21"/>
          <w:szCs w:val="21"/>
          <w:highlight w:val="none"/>
          <w:lang w:eastAsia="zh-CN"/>
        </w:rPr>
        <w:t>（</w:t>
      </w:r>
      <w:r>
        <w:rPr>
          <w:rFonts w:hint="eastAsia" w:ascii="楷体" w:hAnsi="楷体" w:eastAsia="楷体"/>
          <w:sz w:val="21"/>
          <w:szCs w:val="21"/>
          <w:highlight w:val="none"/>
          <w:lang w:val="en-US" w:eastAsia="zh-CN"/>
        </w:rPr>
        <w:t>如有）</w:t>
      </w:r>
      <w:r>
        <w:rPr>
          <w:rFonts w:hint="eastAsia" w:ascii="楷体" w:hAnsi="楷体" w:eastAsia="楷体"/>
          <w:sz w:val="21"/>
          <w:szCs w:val="21"/>
          <w:highlight w:val="none"/>
        </w:rPr>
        <w:t>、不可抗力风险</w:t>
      </w:r>
      <w:r>
        <w:rPr>
          <w:rFonts w:hint="eastAsia" w:ascii="楷体" w:hAnsi="楷体" w:eastAsia="楷体"/>
          <w:sz w:val="21"/>
          <w:szCs w:val="21"/>
          <w:highlight w:val="none"/>
          <w:lang w:eastAsia="zh-CN"/>
        </w:rPr>
        <w:t>、</w:t>
      </w:r>
      <w:r>
        <w:rPr>
          <w:rFonts w:hint="eastAsia" w:ascii="楷体" w:hAnsi="楷体" w:eastAsia="楷体"/>
          <w:sz w:val="21"/>
          <w:szCs w:val="21"/>
          <w:highlight w:val="none"/>
          <w:lang w:val="en-US" w:eastAsia="zh-CN"/>
        </w:rPr>
        <w:t>关联关系及关联交易风险、</w:t>
      </w:r>
      <w:r>
        <w:rPr>
          <w:rFonts w:hint="eastAsia" w:ascii="楷体" w:hAnsi="楷体" w:eastAsia="楷体"/>
          <w:sz w:val="21"/>
          <w:szCs w:val="21"/>
          <w:highlight w:val="none"/>
          <w:lang w:eastAsia="zh-CN"/>
        </w:rPr>
        <w:t>特定投资标的风险</w:t>
      </w:r>
      <w:r>
        <w:rPr>
          <w:rFonts w:hint="eastAsia" w:ascii="楷体" w:hAnsi="楷体" w:eastAsia="楷体"/>
          <w:sz w:val="21"/>
          <w:szCs w:val="21"/>
          <w:highlight w:val="none"/>
        </w:rPr>
        <w:t>等。请仔细阅读《“苏银理财</w:t>
      </w:r>
      <w:r>
        <w:rPr>
          <w:rFonts w:hint="eastAsia" w:ascii="楷体" w:hAnsi="楷体" w:eastAsia="楷体"/>
          <w:sz w:val="21"/>
          <w:szCs w:val="21"/>
          <w:highlight w:val="none"/>
          <w:lang w:eastAsia="zh-CN"/>
        </w:rPr>
        <w:t>恒源灵动最短持有14天21号</w:t>
      </w:r>
      <w:r>
        <w:rPr>
          <w:rFonts w:hint="eastAsia" w:ascii="楷体" w:hAnsi="楷体" w:eastAsia="楷体"/>
          <w:sz w:val="21"/>
          <w:szCs w:val="21"/>
          <w:highlight w:val="none"/>
        </w:rPr>
        <w:t>”理财产品风险揭示书》的“风险揭示”部分。</w:t>
      </w:r>
    </w:p>
    <w:p>
      <w:pPr>
        <w:keepNext w:val="0"/>
        <w:keepLines w:val="0"/>
        <w:pageBreakBefore w:val="0"/>
        <w:numPr>
          <w:ilvl w:val="0"/>
          <w:numId w:val="1"/>
        </w:numPr>
        <w:wordWrap/>
        <w:topLinePunct w:val="0"/>
        <w:autoSpaceDE/>
        <w:autoSpaceDN/>
        <w:bidi w:val="0"/>
        <w:ind w:left="420" w:leftChars="0" w:hanging="420" w:firstLineChars="0"/>
        <w:textAlignment w:val="auto"/>
        <w:rPr>
          <w:rFonts w:hint="eastAsia" w:ascii="楷体" w:hAnsi="楷体" w:eastAsia="楷体"/>
          <w:b/>
          <w:bCs/>
          <w:sz w:val="21"/>
          <w:szCs w:val="21"/>
          <w:highlight w:val="none"/>
          <w:u w:val="single"/>
        </w:rPr>
      </w:pPr>
      <w:r>
        <w:rPr>
          <w:rFonts w:hint="eastAsia" w:ascii="楷体" w:hAnsi="楷体" w:eastAsia="楷体"/>
          <w:b/>
          <w:bCs/>
          <w:sz w:val="21"/>
          <w:szCs w:val="21"/>
          <w:highlight w:val="none"/>
          <w:u w:val="single"/>
          <w:lang w:val="en-US" w:eastAsia="zh-CN"/>
        </w:rPr>
        <w:t>本产品可设置多类份额，各类份额可能设置不同的销售对象、销售起点、业绩比较基准等，各类份额实际收取的销售服务费率、投资管理费率、超额业绩报酬（如有）等可能存在差异，投资者应根据实际情况自主选择购买。</w:t>
      </w:r>
    </w:p>
    <w:p>
      <w:pPr>
        <w:keepNext w:val="0"/>
        <w:keepLines w:val="0"/>
        <w:pageBreakBefore w:val="0"/>
        <w:numPr>
          <w:ilvl w:val="0"/>
          <w:numId w:val="1"/>
        </w:numPr>
        <w:wordWrap/>
        <w:topLinePunct w:val="0"/>
        <w:autoSpaceDE/>
        <w:autoSpaceDN/>
        <w:bidi w:val="0"/>
        <w:ind w:left="420" w:leftChars="0" w:hanging="420" w:firstLineChars="0"/>
        <w:textAlignment w:val="auto"/>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投资者不得使用贷款、发行债券等筹集的非自有资金投资本理财产品。</w:t>
      </w:r>
    </w:p>
    <w:p>
      <w:pPr>
        <w:keepNext w:val="0"/>
        <w:keepLines w:val="0"/>
        <w:pageBreakBefore w:val="0"/>
        <w:numPr>
          <w:ilvl w:val="0"/>
          <w:numId w:val="1"/>
        </w:numPr>
        <w:wordWrap/>
        <w:topLinePunct w:val="0"/>
        <w:autoSpaceDE/>
        <w:autoSpaceDN/>
        <w:bidi w:val="0"/>
        <w:ind w:left="420" w:leftChars="0" w:hanging="420" w:firstLineChars="0"/>
        <w:textAlignment w:val="auto"/>
        <w:rPr>
          <w:rFonts w:hint="eastAsia" w:ascii="楷体" w:hAnsi="楷体" w:eastAsia="楷体" w:cs="Times New Roman"/>
          <w:sz w:val="21"/>
          <w:szCs w:val="21"/>
          <w:highlight w:val="none"/>
        </w:rPr>
      </w:pPr>
      <w:r>
        <w:rPr>
          <w:rFonts w:hint="eastAsia" w:ascii="楷体" w:hAnsi="楷体" w:eastAsia="楷体" w:cs="Times New Roman"/>
          <w:sz w:val="21"/>
          <w:szCs w:val="21"/>
          <w:highlight w:val="none"/>
        </w:rPr>
        <w:t>在本产品存续期内，如因监管政策或法律法规发生变化，在不损害投资者利益的前提下，苏银理财有权单方对本产品条款进行修订，并按本理财产品说明书约定的信息披露方式予以披露。</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产品要素</w:t>
      </w:r>
    </w:p>
    <w:p>
      <w:pPr>
        <w:keepNext w:val="0"/>
        <w:keepLines w:val="0"/>
        <w:pageBreakBefore w:val="0"/>
        <w:numPr>
          <w:ilvl w:val="0"/>
          <w:numId w:val="0"/>
        </w:numPr>
        <w:tabs>
          <w:tab w:val="left" w:pos="728"/>
        </w:tabs>
        <w:wordWrap/>
        <w:topLinePunct w:val="0"/>
        <w:autoSpaceDE/>
        <w:autoSpaceDN/>
        <w:bidi w:val="0"/>
        <w:ind w:left="0" w:leftChars="0" w:firstLine="420" w:firstLineChars="200"/>
        <w:textAlignment w:val="auto"/>
        <w:rPr>
          <w:rFonts w:hint="eastAsia" w:ascii="楷体" w:hAnsi="楷体" w:eastAsia="楷体" w:cs="Calibri"/>
          <w:sz w:val="21"/>
          <w:szCs w:val="21"/>
          <w:highlight w:val="none"/>
          <w:lang w:val="en-US" w:eastAsia="zh-CN"/>
        </w:rPr>
      </w:pPr>
      <w:r>
        <w:rPr>
          <w:rFonts w:hint="eastAsia" w:ascii="楷体" w:hAnsi="楷体" w:eastAsia="楷体" w:cs="Calibri"/>
          <w:sz w:val="21"/>
          <w:szCs w:val="21"/>
          <w:highlight w:val="none"/>
          <w:lang w:val="en-US" w:eastAsia="zh-CN"/>
        </w:rPr>
        <w:t>为保护投资者合法权益，尊重投资者的知情权和自主选择权，现将本理财产品的基本要素说明如下：</w:t>
      </w:r>
    </w:p>
    <w:tbl>
      <w:tblPr>
        <w:tblStyle w:val="14"/>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产品名称</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eastAsia="zh-CN"/>
              </w:rPr>
              <w:t>苏银理财恒源灵动最短持有14天21号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理财产品登记编码</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ascii="楷体" w:hAnsi="楷体" w:eastAsia="楷体" w:cs="宋体"/>
                <w:spacing w:val="-2"/>
                <w:sz w:val="18"/>
                <w:szCs w:val="18"/>
                <w:highlight w:val="none"/>
              </w:rPr>
            </w:pPr>
            <w:r>
              <w:rPr>
                <w:rFonts w:hint="default" w:ascii="楷体" w:hAnsi="楷体" w:eastAsia="楷体" w:cs="宋体"/>
                <w:spacing w:val="-2"/>
                <w:sz w:val="18"/>
                <w:szCs w:val="18"/>
                <w:highlight w:val="none"/>
                <w:lang w:val="en-US" w:eastAsia="zh-CN"/>
              </w:rPr>
              <w:t>Z7003125000275，投资者可依据该编码在中国理财网www.chinawealth.com.cn查询产品信息。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lang w:val="en-US" w:eastAsia="zh-CN"/>
              </w:rPr>
              <w:t>销售名称</w:t>
            </w:r>
            <w:r>
              <w:rPr>
                <w:rFonts w:hint="eastAsia" w:ascii="楷体" w:hAnsi="楷体" w:eastAsia="楷体" w:cs="宋体"/>
                <w:b/>
                <w:spacing w:val="-2"/>
                <w:sz w:val="18"/>
                <w:szCs w:val="18"/>
                <w:highlight w:val="none"/>
              </w:rPr>
              <w:t>/销售代码</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A份额：苏银理财</w:t>
            </w:r>
            <w:r>
              <w:rPr>
                <w:rFonts w:hint="eastAsia" w:ascii="楷体" w:hAnsi="楷体" w:eastAsia="楷体" w:cs="宋体"/>
                <w:spacing w:val="-2"/>
                <w:sz w:val="18"/>
                <w:szCs w:val="18"/>
                <w:highlight w:val="none"/>
                <w:lang w:val="en-US" w:eastAsia="zh-CN"/>
              </w:rPr>
              <w:t>恒源灵动最短持有14天21号</w:t>
            </w:r>
            <w:r>
              <w:rPr>
                <w:rFonts w:hint="default" w:ascii="楷体" w:hAnsi="楷体" w:eastAsia="楷体" w:cs="宋体"/>
                <w:spacing w:val="-2"/>
                <w:sz w:val="18"/>
                <w:szCs w:val="18"/>
                <w:highlight w:val="none"/>
                <w:lang w:val="en-US" w:eastAsia="zh-CN"/>
              </w:rPr>
              <w:t>A/J09918</w:t>
            </w:r>
          </w:p>
          <w:p>
            <w:pPr>
              <w:pStyle w:val="32"/>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F</w:t>
            </w:r>
            <w:r>
              <w:rPr>
                <w:rFonts w:hint="default" w:ascii="楷体" w:hAnsi="楷体" w:eastAsia="楷体" w:cs="宋体"/>
                <w:spacing w:val="-2"/>
                <w:sz w:val="18"/>
                <w:szCs w:val="18"/>
                <w:highlight w:val="none"/>
                <w:lang w:val="en-US" w:eastAsia="zh-CN"/>
              </w:rPr>
              <w:t>份额：苏银理财</w:t>
            </w:r>
            <w:r>
              <w:rPr>
                <w:rFonts w:hint="eastAsia" w:ascii="楷体" w:hAnsi="楷体" w:eastAsia="楷体" w:cs="宋体"/>
                <w:spacing w:val="-2"/>
                <w:sz w:val="18"/>
                <w:szCs w:val="18"/>
                <w:highlight w:val="none"/>
                <w:lang w:val="en-US" w:eastAsia="zh-CN"/>
              </w:rPr>
              <w:t>恒源灵动最短持有14天21号F</w:t>
            </w:r>
            <w:r>
              <w:rPr>
                <w:rFonts w:hint="default" w:ascii="楷体" w:hAnsi="楷体" w:eastAsia="楷体" w:cs="宋体"/>
                <w:spacing w:val="-2"/>
                <w:sz w:val="18"/>
                <w:szCs w:val="18"/>
                <w:highlight w:val="none"/>
                <w:lang w:val="en-US" w:eastAsia="zh-CN"/>
              </w:rPr>
              <w:t>/J0991</w:t>
            </w:r>
            <w:r>
              <w:rPr>
                <w:rFonts w:hint="eastAsia" w:ascii="楷体" w:hAnsi="楷体" w:eastAsia="楷体" w:cs="宋体"/>
                <w:spacing w:val="-2"/>
                <w:sz w:val="18"/>
                <w:szCs w:val="18"/>
                <w:highlight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产品类型</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b/>
                <w:spacing w:val="-2"/>
                <w:sz w:val="18"/>
                <w:szCs w:val="18"/>
                <w:highlight w:val="none"/>
                <w:u w:val="single"/>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产品内部风险评级</w:t>
            </w:r>
          </w:p>
        </w:tc>
        <w:tc>
          <w:tcPr>
            <w:tcW w:w="793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21" w:leftChars="10" w:right="21" w:rightChars="10" w:firstLine="0" w:firstLineChars="0"/>
              <w:jc w:val="both"/>
              <w:textAlignment w:val="auto"/>
              <w:rPr>
                <w:rFonts w:hint="eastAsia" w:ascii="楷体" w:hAnsi="楷体" w:eastAsia="楷体"/>
                <w:color w:val="auto"/>
                <w:sz w:val="18"/>
                <w:szCs w:val="18"/>
                <w:highlight w:val="none"/>
              </w:rPr>
            </w:pPr>
            <w:r>
              <w:rPr>
                <w:rFonts w:hint="eastAsia" w:ascii="楷体" w:hAnsi="楷体" w:eastAsia="楷体"/>
                <w:color w:val="auto"/>
                <w:sz w:val="18"/>
                <w:szCs w:val="18"/>
                <w:highlight w:val="none"/>
                <w:lang w:val="en-US" w:eastAsia="zh-CN"/>
              </w:rPr>
              <w:t>1.</w:t>
            </w:r>
            <w:r>
              <w:rPr>
                <w:rFonts w:hint="eastAsia" w:ascii="楷体" w:hAnsi="楷体" w:eastAsia="楷体"/>
                <w:color w:val="auto"/>
                <w:sz w:val="18"/>
                <w:szCs w:val="18"/>
                <w:highlight w:val="none"/>
              </w:rPr>
              <w:t>本理财产品经苏银理财内部风险评级为</w:t>
            </w:r>
            <w:r>
              <w:rPr>
                <w:rFonts w:hint="eastAsia" w:ascii="楷体" w:hAnsi="楷体" w:eastAsia="楷体"/>
                <w:b/>
                <w:color w:val="auto"/>
                <w:sz w:val="18"/>
                <w:szCs w:val="18"/>
                <w:highlight w:val="none"/>
                <w:u w:val="single"/>
              </w:rPr>
              <w:t>★★二级，适合中低风险型投资者，适合投资策略为稳健发展</w:t>
            </w:r>
            <w:r>
              <w:rPr>
                <w:rFonts w:hint="eastAsia" w:ascii="楷体" w:hAnsi="楷体" w:eastAsia="楷体"/>
                <w:b/>
                <w:color w:val="auto"/>
                <w:sz w:val="18"/>
                <w:szCs w:val="18"/>
                <w:highlight w:val="none"/>
                <w:u w:val="single"/>
                <w:lang w:val="en-US" w:eastAsia="zh-CN"/>
              </w:rPr>
              <w:t>的投资者</w:t>
            </w:r>
            <w:r>
              <w:rPr>
                <w:rFonts w:hint="eastAsia" w:ascii="楷体" w:hAnsi="楷体" w:eastAsia="楷体"/>
                <w:color w:val="auto"/>
                <w:sz w:val="18"/>
                <w:szCs w:val="18"/>
                <w:highlight w:val="none"/>
              </w:rPr>
              <w:t>。本评级为</w:t>
            </w:r>
            <w:r>
              <w:rPr>
                <w:rFonts w:hint="eastAsia" w:ascii="楷体" w:hAnsi="楷体" w:eastAsia="楷体"/>
                <w:color w:val="auto"/>
                <w:sz w:val="18"/>
                <w:szCs w:val="18"/>
                <w:highlight w:val="none"/>
                <w:lang w:val="en-US" w:eastAsia="zh-CN"/>
              </w:rPr>
              <w:t>管理人</w:t>
            </w:r>
            <w:r>
              <w:rPr>
                <w:rFonts w:hint="eastAsia" w:ascii="楷体" w:hAnsi="楷体" w:eastAsia="楷体"/>
                <w:color w:val="auto"/>
                <w:sz w:val="18"/>
                <w:szCs w:val="18"/>
                <w:highlight w:val="none"/>
              </w:rPr>
              <w:t>内部评级，由</w:t>
            </w:r>
            <w:r>
              <w:rPr>
                <w:rFonts w:hint="eastAsia" w:ascii="楷体" w:hAnsi="楷体" w:eastAsia="楷体"/>
                <w:color w:val="auto"/>
                <w:sz w:val="18"/>
                <w:szCs w:val="18"/>
                <w:highlight w:val="none"/>
                <w:lang w:val="en-US" w:eastAsia="zh-CN"/>
              </w:rPr>
              <w:t>管理人</w:t>
            </w:r>
            <w:r>
              <w:rPr>
                <w:rFonts w:hint="eastAsia" w:ascii="楷体" w:hAnsi="楷体" w:eastAsia="楷体"/>
                <w:color w:val="auto"/>
                <w:sz w:val="18"/>
                <w:szCs w:val="18"/>
                <w:highlight w:val="none"/>
              </w:rPr>
              <w:t>根据理财产品的投资组合、同类产品过往业绩和风险状况等因素，对理财产品进行评级，仅供</w:t>
            </w:r>
            <w:r>
              <w:rPr>
                <w:rFonts w:hint="eastAsia" w:ascii="楷体" w:hAnsi="楷体" w:eastAsia="楷体"/>
                <w:color w:val="auto"/>
                <w:sz w:val="18"/>
                <w:szCs w:val="18"/>
                <w:highlight w:val="none"/>
                <w:lang w:val="en-US" w:eastAsia="zh-CN"/>
              </w:rPr>
              <w:t>投资者</w:t>
            </w:r>
            <w:r>
              <w:rPr>
                <w:rFonts w:hint="eastAsia" w:ascii="楷体" w:hAnsi="楷体" w:eastAsia="楷体"/>
                <w:color w:val="auto"/>
                <w:sz w:val="18"/>
                <w:szCs w:val="18"/>
                <w:highlight w:val="none"/>
              </w:rPr>
              <w:t>参考。</w:t>
            </w:r>
          </w:p>
          <w:tbl>
            <w:tblPr>
              <w:tblStyle w:val="14"/>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488"/>
              <w:gridCol w:w="2030"/>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风险星级</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风险级别</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适合的投资者类别</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1181" w:type="pct"/>
                  <w:tcBorders>
                    <w:bottom w:val="single" w:color="auto" w:sz="4" w:space="0"/>
                  </w:tcBorders>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w:t>
                  </w:r>
                </w:p>
              </w:tc>
              <w:tc>
                <w:tcPr>
                  <w:tcW w:w="1095" w:type="pct"/>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一级（PR1）</w:t>
                  </w:r>
                </w:p>
              </w:tc>
              <w:tc>
                <w:tcPr>
                  <w:tcW w:w="1493" w:type="pct"/>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低风险型</w:t>
                  </w:r>
                </w:p>
              </w:tc>
              <w:tc>
                <w:tcPr>
                  <w:tcW w:w="1229" w:type="pct"/>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b/>
                      <w:color w:val="auto"/>
                      <w:kern w:val="0"/>
                      <w:sz w:val="18"/>
                      <w:szCs w:val="18"/>
                      <w:highlight w:val="none"/>
                    </w:rPr>
                  </w:pPr>
                  <w:r>
                    <w:rPr>
                      <w:rFonts w:hint="eastAsia" w:ascii="楷体" w:hAnsi="楷体" w:eastAsia="楷体" w:cs="浠垮畫"/>
                      <w:b/>
                      <w:color w:val="auto"/>
                      <w:kern w:val="0"/>
                      <w:sz w:val="18"/>
                      <w:szCs w:val="18"/>
                      <w:highlight w:val="none"/>
                    </w:rPr>
                    <w:t>★★</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b/>
                      <w:color w:val="auto"/>
                      <w:kern w:val="0"/>
                      <w:sz w:val="18"/>
                      <w:szCs w:val="18"/>
                      <w:highlight w:val="none"/>
                    </w:rPr>
                  </w:pPr>
                  <w:r>
                    <w:rPr>
                      <w:rFonts w:hint="eastAsia" w:ascii="楷体" w:hAnsi="楷体" w:eastAsia="楷体" w:cs="浠垮畫"/>
                      <w:b/>
                      <w:color w:val="auto"/>
                      <w:kern w:val="0"/>
                      <w:sz w:val="18"/>
                      <w:szCs w:val="18"/>
                      <w:highlight w:val="none"/>
                    </w:rPr>
                    <w:t>二级（PR2）</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b/>
                      <w:color w:val="auto"/>
                      <w:kern w:val="0"/>
                      <w:sz w:val="18"/>
                      <w:szCs w:val="18"/>
                      <w:highlight w:val="none"/>
                    </w:rPr>
                  </w:pPr>
                  <w:r>
                    <w:rPr>
                      <w:rFonts w:hint="eastAsia" w:ascii="楷体" w:hAnsi="楷体" w:eastAsia="楷体" w:cs="浠垮畫"/>
                      <w:b/>
                      <w:color w:val="auto"/>
                      <w:kern w:val="0"/>
                      <w:sz w:val="18"/>
                      <w:szCs w:val="18"/>
                      <w:highlight w:val="none"/>
                    </w:rPr>
                    <w:t>中低风险型</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b/>
                      <w:color w:val="auto"/>
                      <w:kern w:val="0"/>
                      <w:sz w:val="18"/>
                      <w:szCs w:val="18"/>
                      <w:highlight w:val="none"/>
                    </w:rPr>
                  </w:pPr>
                  <w:r>
                    <w:rPr>
                      <w:rFonts w:hint="eastAsia" w:ascii="楷体" w:hAnsi="楷体" w:eastAsia="楷体" w:cs="浠垮畫"/>
                      <w:b/>
                      <w:color w:val="auto"/>
                      <w:kern w:val="0"/>
                      <w:sz w:val="18"/>
                      <w:szCs w:val="18"/>
                      <w:highlight w:val="none"/>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三级（PR3）</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中风险型</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四级（PR4）</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中高风险型</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五级（PR5）</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高风险型</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风险承受</w:t>
                  </w:r>
                </w:p>
              </w:tc>
            </w:tr>
          </w:tbl>
          <w:p>
            <w:pPr>
              <w:keepNext w:val="0"/>
              <w:keepLines w:val="0"/>
              <w:pageBreakBefore w:val="0"/>
              <w:widowControl w:val="0"/>
              <w:numPr>
                <w:ilvl w:val="0"/>
                <w:numId w:val="0"/>
              </w:numPr>
              <w:wordWrap/>
              <w:topLinePunct w:val="0"/>
              <w:autoSpaceDE/>
              <w:autoSpaceDN/>
              <w:bidi w:val="0"/>
              <w:snapToGrid w:val="0"/>
              <w:spacing w:line="240" w:lineRule="auto"/>
              <w:ind w:left="21" w:leftChars="10" w:right="21" w:rightChars="10" w:firstLine="0" w:firstLineChars="0"/>
              <w:jc w:val="both"/>
              <w:textAlignment w:val="auto"/>
              <w:rPr>
                <w:rFonts w:ascii="楷体" w:hAnsi="楷体" w:eastAsia="楷体"/>
                <w:b/>
                <w:sz w:val="18"/>
                <w:szCs w:val="18"/>
                <w:highlight w:val="none"/>
                <w:u w:val="single"/>
              </w:rPr>
            </w:pPr>
            <w:r>
              <w:rPr>
                <w:rFonts w:hint="eastAsia" w:ascii="楷体" w:hAnsi="楷体" w:eastAsia="楷体"/>
                <w:sz w:val="18"/>
                <w:szCs w:val="18"/>
                <w:highlight w:val="none"/>
                <w:lang w:val="en-US" w:eastAsia="zh-CN"/>
              </w:rPr>
              <w:t>2.</w:t>
            </w:r>
            <w:r>
              <w:rPr>
                <w:rFonts w:hint="eastAsia" w:ascii="楷体" w:hAnsi="楷体" w:eastAsia="楷体"/>
                <w:sz w:val="18"/>
                <w:szCs w:val="18"/>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highlight w:val="none"/>
                <w:u w:val="single"/>
              </w:rPr>
              <w:t>如本产品通过代理销售机构渠道销售，</w:t>
            </w:r>
            <w:r>
              <w:rPr>
                <w:rFonts w:hint="eastAsia" w:ascii="楷体" w:hAnsi="楷体" w:eastAsia="楷体"/>
                <w:b/>
                <w:sz w:val="18"/>
                <w:szCs w:val="18"/>
                <w:highlight w:val="none"/>
                <w:u w:val="single"/>
              </w:rPr>
              <w:t>理财产品评级以代理销售机构最终披露的评级结果为准。</w:t>
            </w:r>
          </w:p>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ascii="楷体" w:hAnsi="楷体" w:eastAsia="楷体" w:cs="宋体"/>
                <w:spacing w:val="-2"/>
                <w:sz w:val="18"/>
                <w:szCs w:val="18"/>
                <w:highlight w:val="none"/>
              </w:rPr>
            </w:pPr>
            <w:r>
              <w:rPr>
                <w:rFonts w:hint="eastAsia" w:ascii="楷体" w:hAnsi="楷体" w:eastAsia="楷体"/>
                <w:color w:val="auto"/>
                <w:sz w:val="18"/>
                <w:szCs w:val="18"/>
                <w:highlight w:val="none"/>
                <w:lang w:val="en-US" w:eastAsia="zh-CN"/>
              </w:rPr>
              <w:t>3.</w:t>
            </w:r>
            <w:r>
              <w:rPr>
                <w:rFonts w:hint="eastAsia" w:ascii="楷体" w:hAnsi="楷体" w:eastAsia="楷体"/>
                <w:color w:val="auto"/>
                <w:sz w:val="18"/>
                <w:szCs w:val="18"/>
                <w:highlight w:val="none"/>
              </w:rPr>
              <w:t>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销售对象</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个人和机构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币种</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kern w:val="0"/>
                <w:sz w:val="18"/>
                <w:szCs w:val="18"/>
                <w:highlight w:val="none"/>
                <w:lang w:val="en-US" w:eastAsia="zh-CN" w:bidi="ar-SA"/>
              </w:rPr>
            </w:pPr>
            <w:r>
              <w:rPr>
                <w:rFonts w:hint="eastAsia" w:ascii="楷体" w:hAnsi="楷体" w:eastAsia="楷体" w:cs="宋体"/>
                <w:b/>
                <w:spacing w:val="-2"/>
                <w:sz w:val="18"/>
                <w:szCs w:val="18"/>
                <w:highlight w:val="none"/>
              </w:rPr>
              <w:t>份额面值</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计划发行规模</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本产品计划发行规模为10000万元，管理人有权根据实际需要调整计划发行规模。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最低发行规模</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本产品最低发行规模为</w:t>
            </w:r>
            <w:r>
              <w:rPr>
                <w:rFonts w:hint="eastAsia" w:ascii="楷体" w:hAnsi="楷体" w:eastAsia="楷体" w:cs="宋体"/>
                <w:spacing w:val="-2"/>
                <w:kern w:val="0"/>
                <w:sz w:val="18"/>
                <w:szCs w:val="18"/>
                <w:highlight w:val="none"/>
                <w:lang w:val="en-US" w:eastAsia="zh-CN" w:bidi="ar-SA"/>
              </w:rPr>
              <w:t>3000万元</w:t>
            </w:r>
            <w:r>
              <w:rPr>
                <w:rFonts w:hint="eastAsia" w:ascii="楷体" w:hAnsi="楷体" w:eastAsia="楷体" w:cs="宋体"/>
                <w:spacing w:val="-2"/>
                <w:sz w:val="18"/>
                <w:szCs w:val="18"/>
                <w:highlight w:val="none"/>
              </w:rPr>
              <w:t>，管理人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购买起点</w:t>
            </w:r>
            <w:r>
              <w:rPr>
                <w:rFonts w:ascii="楷体" w:hAnsi="楷体" w:eastAsia="楷体" w:cs="宋体"/>
                <w:b/>
                <w:spacing w:val="-2"/>
                <w:sz w:val="18"/>
                <w:szCs w:val="18"/>
                <w:highlight w:val="none"/>
              </w:rPr>
              <w:t>/</w:t>
            </w:r>
            <w:r>
              <w:rPr>
                <w:rFonts w:hint="eastAsia" w:ascii="楷体" w:hAnsi="楷体" w:eastAsia="楷体" w:cs="宋体"/>
                <w:b/>
                <w:spacing w:val="-2"/>
                <w:sz w:val="18"/>
                <w:szCs w:val="18"/>
                <w:highlight w:val="none"/>
              </w:rPr>
              <w:t>追加金额</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sz w:val="18"/>
                <w:szCs w:val="18"/>
                <w:highlight w:val="none"/>
              </w:rPr>
            </w:pPr>
            <w:r>
              <w:rPr>
                <w:rFonts w:hint="eastAsia" w:ascii="楷体" w:hAnsi="楷体" w:eastAsia="楷体"/>
                <w:sz w:val="18"/>
                <w:szCs w:val="18"/>
                <w:highlight w:val="none"/>
              </w:rPr>
              <w:t>1元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1元的整数倍</w:t>
            </w:r>
            <w:r>
              <w:rPr>
                <w:rFonts w:hint="eastAsia" w:ascii="楷体" w:hAnsi="楷体" w:eastAsia="楷体"/>
                <w:sz w:val="18"/>
                <w:szCs w:val="18"/>
                <w:highlight w:val="none"/>
                <w:lang w:eastAsia="zh-CN"/>
              </w:rPr>
              <w:t>。</w:t>
            </w:r>
            <w:r>
              <w:rPr>
                <w:rFonts w:hint="eastAsia" w:ascii="楷体" w:hAnsi="楷体" w:eastAsia="楷体"/>
                <w:sz w:val="18"/>
                <w:szCs w:val="18"/>
                <w:highlight w:val="none"/>
              </w:rPr>
              <w:t>苏银理财有权对上述起点金额和</w:t>
            </w:r>
            <w:r>
              <w:rPr>
                <w:rFonts w:hint="eastAsia" w:ascii="楷体" w:hAnsi="楷体" w:eastAsia="楷体"/>
                <w:sz w:val="18"/>
                <w:szCs w:val="18"/>
                <w:highlight w:val="none"/>
                <w:lang w:val="en-US" w:eastAsia="zh-CN"/>
              </w:rPr>
              <w:t>追加</w:t>
            </w:r>
            <w:r>
              <w:rPr>
                <w:rFonts w:hint="eastAsia" w:ascii="楷体" w:hAnsi="楷体" w:eastAsia="楷体"/>
                <w:sz w:val="18"/>
                <w:szCs w:val="18"/>
                <w:highlight w:val="none"/>
              </w:rPr>
              <w:t>金额进行调整，并在调整前进行公告。</w:t>
            </w:r>
            <w:r>
              <w:rPr>
                <w:rFonts w:hint="eastAsia" w:ascii="楷体" w:hAnsi="楷体" w:eastAsia="楷体"/>
                <w:sz w:val="18"/>
                <w:szCs w:val="18"/>
                <w:highlight w:val="none"/>
                <w:lang w:eastAsia="zh-CN"/>
              </w:rPr>
              <w:t>（</w:t>
            </w:r>
            <w:r>
              <w:rPr>
                <w:rFonts w:hint="eastAsia" w:ascii="楷体" w:hAnsi="楷体" w:eastAsia="楷体"/>
                <w:sz w:val="18"/>
                <w:szCs w:val="18"/>
                <w:highlight w:val="none"/>
              </w:rPr>
              <w:t>具体以销售机构设置为准</w:t>
            </w:r>
            <w:r>
              <w:rPr>
                <w:rFonts w:hint="eastAsia" w:ascii="楷体" w:hAnsi="楷体" w:eastAsia="楷体"/>
                <w:sz w:val="18"/>
                <w:szCs w:val="18"/>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募集期</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202</w:t>
            </w:r>
            <w:r>
              <w:rPr>
                <w:rFonts w:hint="eastAsia" w:ascii="楷体" w:hAnsi="楷体" w:eastAsia="楷体" w:cs="宋体"/>
                <w:spacing w:val="-2"/>
                <w:sz w:val="18"/>
                <w:szCs w:val="18"/>
                <w:highlight w:val="none"/>
                <w:lang w:val="en-US" w:eastAsia="zh-CN"/>
              </w:rPr>
              <w:t>5</w:t>
            </w:r>
            <w:r>
              <w:rPr>
                <w:rFonts w:hint="eastAsia" w:ascii="楷体" w:hAnsi="楷体" w:eastAsia="楷体" w:cs="宋体"/>
                <w:spacing w:val="-2"/>
                <w:sz w:val="18"/>
                <w:szCs w:val="18"/>
                <w:highlight w:val="none"/>
              </w:rPr>
              <w:t>年</w:t>
            </w:r>
            <w:r>
              <w:rPr>
                <w:rFonts w:hint="eastAsia" w:ascii="楷体" w:hAnsi="楷体" w:eastAsia="楷体" w:cs="宋体"/>
                <w:spacing w:val="-2"/>
                <w:sz w:val="18"/>
                <w:szCs w:val="18"/>
                <w:highlight w:val="none"/>
                <w:lang w:val="en-US" w:eastAsia="zh-CN"/>
              </w:rPr>
              <w:t>11</w:t>
            </w:r>
            <w:r>
              <w:rPr>
                <w:rFonts w:hint="eastAsia" w:ascii="楷体" w:hAnsi="楷体" w:eastAsia="楷体" w:cs="宋体"/>
                <w:spacing w:val="-2"/>
                <w:sz w:val="18"/>
                <w:szCs w:val="18"/>
                <w:highlight w:val="none"/>
              </w:rPr>
              <w:t>月</w:t>
            </w:r>
            <w:r>
              <w:rPr>
                <w:rFonts w:hint="eastAsia" w:ascii="楷体" w:hAnsi="楷体" w:eastAsia="楷体" w:cs="宋体"/>
                <w:spacing w:val="-2"/>
                <w:sz w:val="18"/>
                <w:szCs w:val="18"/>
                <w:highlight w:val="none"/>
                <w:lang w:val="en-US" w:eastAsia="zh-CN"/>
              </w:rPr>
              <w:t>3</w:t>
            </w:r>
            <w:r>
              <w:rPr>
                <w:rFonts w:hint="eastAsia" w:ascii="楷体" w:hAnsi="楷体" w:eastAsia="楷体" w:cs="宋体"/>
                <w:spacing w:val="-2"/>
                <w:sz w:val="18"/>
                <w:szCs w:val="18"/>
                <w:highlight w:val="none"/>
              </w:rPr>
              <w:t>日</w:t>
            </w:r>
            <w:r>
              <w:rPr>
                <w:rFonts w:hint="eastAsia" w:ascii="楷体" w:hAnsi="楷体" w:eastAsia="楷体" w:cs="宋体"/>
                <w:spacing w:val="-2"/>
                <w:sz w:val="18"/>
                <w:szCs w:val="18"/>
                <w:highlight w:val="none"/>
                <w:lang w:val="en-US" w:eastAsia="zh-CN"/>
              </w:rPr>
              <w:t>至</w:t>
            </w:r>
            <w:r>
              <w:rPr>
                <w:rFonts w:hint="eastAsia" w:ascii="楷体" w:hAnsi="楷体" w:eastAsia="楷体" w:cs="宋体"/>
                <w:spacing w:val="-2"/>
                <w:sz w:val="18"/>
                <w:szCs w:val="18"/>
                <w:highlight w:val="none"/>
              </w:rPr>
              <w:t>20</w:t>
            </w:r>
            <w:r>
              <w:rPr>
                <w:rFonts w:hint="eastAsia" w:ascii="楷体" w:hAnsi="楷体" w:eastAsia="楷体" w:cs="宋体"/>
                <w:spacing w:val="-2"/>
                <w:sz w:val="18"/>
                <w:szCs w:val="18"/>
                <w:highlight w:val="none"/>
                <w:lang w:val="en-US" w:eastAsia="zh-CN"/>
              </w:rPr>
              <w:t>25</w:t>
            </w:r>
            <w:r>
              <w:rPr>
                <w:rFonts w:hint="eastAsia" w:ascii="楷体" w:hAnsi="楷体" w:eastAsia="楷体" w:cs="宋体"/>
                <w:spacing w:val="-2"/>
                <w:sz w:val="18"/>
                <w:szCs w:val="18"/>
                <w:highlight w:val="none"/>
              </w:rPr>
              <w:t>年</w:t>
            </w:r>
            <w:r>
              <w:rPr>
                <w:rFonts w:hint="eastAsia" w:ascii="楷体" w:hAnsi="楷体" w:eastAsia="楷体" w:cs="宋体"/>
                <w:spacing w:val="-2"/>
                <w:sz w:val="18"/>
                <w:szCs w:val="18"/>
                <w:highlight w:val="none"/>
                <w:lang w:val="en-US" w:eastAsia="zh-CN"/>
              </w:rPr>
              <w:t>11</w:t>
            </w:r>
            <w:r>
              <w:rPr>
                <w:rFonts w:hint="eastAsia" w:ascii="楷体" w:hAnsi="楷体" w:eastAsia="楷体" w:cs="宋体"/>
                <w:spacing w:val="-2"/>
                <w:sz w:val="18"/>
                <w:szCs w:val="18"/>
                <w:highlight w:val="none"/>
              </w:rPr>
              <w:t>月</w:t>
            </w:r>
            <w:r>
              <w:rPr>
                <w:rFonts w:hint="eastAsia" w:ascii="楷体" w:hAnsi="楷体" w:eastAsia="楷体" w:cs="宋体"/>
                <w:spacing w:val="-2"/>
                <w:sz w:val="18"/>
                <w:szCs w:val="18"/>
                <w:highlight w:val="none"/>
                <w:lang w:val="en-US" w:eastAsia="zh-CN"/>
              </w:rPr>
              <w:t>5</w:t>
            </w:r>
            <w:r>
              <w:rPr>
                <w:rFonts w:hint="eastAsia" w:ascii="楷体" w:hAnsi="楷体" w:eastAsia="楷体" w:cs="宋体"/>
                <w:spacing w:val="-2"/>
                <w:sz w:val="18"/>
                <w:szCs w:val="18"/>
                <w:highlight w:val="none"/>
              </w:rPr>
              <w:t>日</w:t>
            </w:r>
          </w:p>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产品成立日</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2025年</w:t>
            </w:r>
            <w:r>
              <w:rPr>
                <w:rFonts w:hint="eastAsia" w:ascii="楷体" w:hAnsi="楷体" w:eastAsia="楷体" w:cs="宋体"/>
                <w:spacing w:val="-2"/>
                <w:sz w:val="18"/>
                <w:szCs w:val="18"/>
                <w:highlight w:val="none"/>
                <w:lang w:val="en-US" w:eastAsia="zh-CN"/>
              </w:rPr>
              <w:t>11</w:t>
            </w:r>
            <w:r>
              <w:rPr>
                <w:rFonts w:hint="eastAsia" w:ascii="楷体" w:hAnsi="楷体" w:eastAsia="楷体" w:cs="宋体"/>
                <w:spacing w:val="-2"/>
                <w:sz w:val="18"/>
                <w:szCs w:val="18"/>
                <w:highlight w:val="none"/>
              </w:rPr>
              <w:t>月</w:t>
            </w:r>
            <w:r>
              <w:rPr>
                <w:rFonts w:hint="eastAsia" w:ascii="楷体" w:hAnsi="楷体" w:eastAsia="楷体" w:cs="宋体"/>
                <w:spacing w:val="-2"/>
                <w:sz w:val="18"/>
                <w:szCs w:val="18"/>
                <w:highlight w:val="none"/>
                <w:lang w:val="en-US" w:eastAsia="zh-CN"/>
              </w:rPr>
              <w:t>6</w:t>
            </w:r>
            <w:r>
              <w:rPr>
                <w:rFonts w:hint="eastAsia" w:ascii="楷体" w:hAnsi="楷体" w:eastAsia="楷体" w:cs="宋体"/>
                <w:spacing w:val="-2"/>
                <w:sz w:val="18"/>
                <w:szCs w:val="18"/>
                <w:highlight w:val="none"/>
              </w:rPr>
              <w:t>日</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rPr>
              <w:t>如管理人调整募集期，则产品成立日将相应调整，以管理人公告为准。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color w:val="auto"/>
                <w:spacing w:val="-2"/>
                <w:sz w:val="18"/>
                <w:szCs w:val="18"/>
                <w:highlight w:val="none"/>
              </w:rPr>
              <w:t>产品</w:t>
            </w:r>
            <w:r>
              <w:rPr>
                <w:rFonts w:hint="eastAsia" w:ascii="楷体" w:hAnsi="楷体" w:eastAsia="楷体" w:cs="宋体"/>
                <w:b/>
                <w:color w:val="auto"/>
                <w:spacing w:val="-2"/>
                <w:sz w:val="18"/>
                <w:szCs w:val="18"/>
                <w:highlight w:val="none"/>
                <w:lang w:val="en-US" w:eastAsia="zh-CN"/>
              </w:rPr>
              <w:t>终止日/</w:t>
            </w:r>
            <w:r>
              <w:rPr>
                <w:rFonts w:hint="eastAsia" w:ascii="楷体" w:hAnsi="楷体" w:eastAsia="楷体" w:cs="宋体"/>
                <w:b/>
                <w:color w:val="auto"/>
                <w:spacing w:val="-2"/>
                <w:sz w:val="18"/>
                <w:szCs w:val="18"/>
                <w:highlight w:val="none"/>
              </w:rPr>
              <w:t>到期日</w:t>
            </w:r>
          </w:p>
        </w:tc>
        <w:tc>
          <w:tcPr>
            <w:tcW w:w="7937" w:type="dxa"/>
            <w:noWrap w:val="0"/>
            <w:vAlign w:val="top"/>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203</w:t>
            </w:r>
            <w:r>
              <w:rPr>
                <w:rFonts w:hint="eastAsia" w:ascii="楷体" w:hAnsi="楷体" w:eastAsia="楷体" w:cs="宋体"/>
                <w:spacing w:val="-2"/>
                <w:sz w:val="18"/>
                <w:szCs w:val="18"/>
                <w:highlight w:val="none"/>
                <w:lang w:val="en-US" w:eastAsia="zh-CN"/>
              </w:rPr>
              <w:t>5</w:t>
            </w:r>
            <w:r>
              <w:rPr>
                <w:rFonts w:hint="eastAsia" w:ascii="楷体" w:hAnsi="楷体" w:eastAsia="楷体" w:cs="宋体"/>
                <w:spacing w:val="-2"/>
                <w:sz w:val="18"/>
                <w:szCs w:val="18"/>
                <w:highlight w:val="none"/>
              </w:rPr>
              <w:t>年12月</w:t>
            </w:r>
            <w:r>
              <w:rPr>
                <w:rFonts w:hint="eastAsia" w:ascii="楷体" w:hAnsi="楷体" w:eastAsia="楷体" w:cs="宋体"/>
                <w:spacing w:val="-2"/>
                <w:sz w:val="18"/>
                <w:szCs w:val="18"/>
                <w:highlight w:val="none"/>
                <w:lang w:val="en-US" w:eastAsia="zh-CN"/>
              </w:rPr>
              <w:t>27</w:t>
            </w:r>
            <w:r>
              <w:rPr>
                <w:rFonts w:hint="eastAsia" w:ascii="楷体" w:hAnsi="楷体" w:eastAsia="楷体" w:cs="宋体"/>
                <w:spacing w:val="-2"/>
                <w:sz w:val="18"/>
                <w:szCs w:val="18"/>
                <w:highlight w:val="none"/>
              </w:rPr>
              <w:t>日</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rPr>
              <w:t>如遇节假日，顺延至下一工作日。在符合产品说明书约定的条件下，管理人有权调整产品到期日，产品到期日受制于提前终止、延期终止条款。详见下文“产品终止”。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kern w:val="0"/>
                <w:sz w:val="18"/>
                <w:szCs w:val="18"/>
                <w:highlight w:val="none"/>
                <w:lang w:val="en-US" w:eastAsia="zh-CN" w:bidi="ar-SA"/>
              </w:rPr>
            </w:pPr>
            <w:r>
              <w:rPr>
                <w:rFonts w:hint="eastAsia" w:ascii="楷体" w:hAnsi="楷体" w:eastAsia="楷体" w:cs="宋体"/>
                <w:b/>
                <w:spacing w:val="-2"/>
                <w:sz w:val="18"/>
                <w:szCs w:val="18"/>
                <w:highlight w:val="none"/>
                <w:lang w:val="en-US" w:eastAsia="zh-CN"/>
              </w:rPr>
              <w:t>封闭运作期</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rPr>
              <w:t>2025年</w:t>
            </w:r>
            <w:r>
              <w:rPr>
                <w:rFonts w:hint="eastAsia" w:ascii="楷体" w:hAnsi="楷体" w:eastAsia="楷体" w:cs="宋体"/>
                <w:spacing w:val="-2"/>
                <w:sz w:val="18"/>
                <w:szCs w:val="18"/>
                <w:highlight w:val="none"/>
                <w:lang w:val="en-US" w:eastAsia="zh-CN"/>
              </w:rPr>
              <w:t>11</w:t>
            </w:r>
            <w:r>
              <w:rPr>
                <w:rFonts w:hint="eastAsia" w:ascii="楷体" w:hAnsi="楷体" w:eastAsia="楷体" w:cs="宋体"/>
                <w:spacing w:val="-2"/>
                <w:sz w:val="18"/>
                <w:szCs w:val="18"/>
                <w:highlight w:val="none"/>
              </w:rPr>
              <w:t>月</w:t>
            </w:r>
            <w:r>
              <w:rPr>
                <w:rFonts w:hint="eastAsia" w:ascii="楷体" w:hAnsi="楷体" w:eastAsia="楷体" w:cs="宋体"/>
                <w:spacing w:val="-2"/>
                <w:sz w:val="18"/>
                <w:szCs w:val="18"/>
                <w:highlight w:val="none"/>
                <w:lang w:val="en-US" w:eastAsia="zh-CN"/>
              </w:rPr>
              <w:t>6</w:t>
            </w:r>
            <w:r>
              <w:rPr>
                <w:rFonts w:hint="eastAsia" w:ascii="楷体" w:hAnsi="楷体" w:eastAsia="楷体" w:cs="宋体"/>
                <w:spacing w:val="-2"/>
                <w:sz w:val="18"/>
                <w:szCs w:val="18"/>
                <w:highlight w:val="none"/>
              </w:rPr>
              <w:t>日-2025年</w:t>
            </w:r>
            <w:r>
              <w:rPr>
                <w:rFonts w:hint="eastAsia" w:ascii="楷体" w:hAnsi="楷体" w:eastAsia="楷体" w:cs="宋体"/>
                <w:spacing w:val="-2"/>
                <w:sz w:val="18"/>
                <w:szCs w:val="18"/>
                <w:highlight w:val="none"/>
                <w:lang w:val="en-US" w:eastAsia="zh-CN"/>
              </w:rPr>
              <w:t>12</w:t>
            </w:r>
            <w:r>
              <w:rPr>
                <w:rFonts w:hint="eastAsia" w:ascii="楷体" w:hAnsi="楷体" w:eastAsia="楷体" w:cs="宋体"/>
                <w:spacing w:val="-2"/>
                <w:sz w:val="18"/>
                <w:szCs w:val="18"/>
                <w:highlight w:val="none"/>
              </w:rPr>
              <w:t>月</w:t>
            </w:r>
            <w:r>
              <w:rPr>
                <w:rFonts w:hint="eastAsia" w:ascii="楷体" w:hAnsi="楷体" w:eastAsia="楷体" w:cs="宋体"/>
                <w:spacing w:val="-2"/>
                <w:sz w:val="18"/>
                <w:szCs w:val="18"/>
                <w:highlight w:val="none"/>
                <w:lang w:val="en-US" w:eastAsia="zh-CN"/>
              </w:rPr>
              <w:t>7</w:t>
            </w:r>
            <w:r>
              <w:rPr>
                <w:rFonts w:hint="eastAsia" w:ascii="楷体" w:hAnsi="楷体" w:eastAsia="楷体" w:cs="宋体"/>
                <w:spacing w:val="-2"/>
                <w:sz w:val="18"/>
                <w:szCs w:val="18"/>
                <w:highlight w:val="none"/>
              </w:rPr>
              <w:t>日，</w:t>
            </w:r>
            <w:r>
              <w:rPr>
                <w:rFonts w:hint="eastAsia" w:ascii="楷体" w:hAnsi="楷体" w:eastAsia="楷体" w:cs="宋体"/>
                <w:b/>
                <w:bCs/>
                <w:spacing w:val="-2"/>
                <w:sz w:val="18"/>
                <w:szCs w:val="18"/>
                <w:highlight w:val="none"/>
              </w:rPr>
              <w:t>封闭运作期内不可申购/赎回</w:t>
            </w:r>
            <w:r>
              <w:rPr>
                <w:rFonts w:hint="eastAsia" w:ascii="楷体" w:hAnsi="楷体" w:eastAsia="楷体" w:cs="宋体"/>
                <w:spacing w:val="-2"/>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份额最低持有期</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default" w:ascii="楷体" w:hAnsi="楷体" w:eastAsia="楷体" w:cs="宋体"/>
                <w:b/>
                <w:spacing w:val="-2"/>
                <w:sz w:val="18"/>
                <w:szCs w:val="18"/>
                <w:highlight w:val="none"/>
                <w:u w:val="single"/>
                <w:lang w:val="en-US" w:eastAsia="zh-CN"/>
              </w:rPr>
            </w:pPr>
            <w:r>
              <w:rPr>
                <w:rFonts w:ascii="楷体" w:hAnsi="楷体" w:eastAsia="楷体" w:cs="宋体"/>
                <w:b/>
                <w:spacing w:val="-2"/>
                <w:sz w:val="18"/>
                <w:szCs w:val="18"/>
                <w:highlight w:val="none"/>
                <w:u w:val="single"/>
              </w:rPr>
              <w:t>份额自确认日起最低持有</w:t>
            </w:r>
            <w:r>
              <w:rPr>
                <w:rFonts w:hint="eastAsia" w:ascii="楷体" w:hAnsi="楷体" w:eastAsia="楷体" w:cs="宋体"/>
                <w:b/>
                <w:spacing w:val="-2"/>
                <w:sz w:val="18"/>
                <w:szCs w:val="18"/>
                <w:highlight w:val="none"/>
                <w:u w:val="single"/>
                <w:lang w:val="en-US" w:eastAsia="zh-CN"/>
              </w:rPr>
              <w:t>期为14</w:t>
            </w:r>
            <w:r>
              <w:rPr>
                <w:rFonts w:hint="eastAsia" w:ascii="楷体" w:hAnsi="楷体" w:eastAsia="楷体" w:cs="宋体"/>
                <w:b/>
                <w:spacing w:val="-2"/>
                <w:sz w:val="18"/>
                <w:szCs w:val="18"/>
                <w:highlight w:val="none"/>
                <w:u w:val="single"/>
              </w:rPr>
              <w:t>天</w:t>
            </w:r>
            <w:r>
              <w:rPr>
                <w:rFonts w:ascii="楷体" w:hAnsi="楷体" w:eastAsia="楷体" w:cs="宋体"/>
                <w:b/>
                <w:spacing w:val="-2"/>
                <w:sz w:val="18"/>
                <w:szCs w:val="18"/>
                <w:highlight w:val="none"/>
                <w:u w:val="single"/>
              </w:rPr>
              <w:t>，</w:t>
            </w:r>
            <w:r>
              <w:rPr>
                <w:rFonts w:hint="eastAsia" w:ascii="楷体" w:hAnsi="楷体" w:eastAsia="楷体" w:cs="宋体"/>
                <w:b/>
                <w:spacing w:val="-2"/>
                <w:sz w:val="18"/>
                <w:szCs w:val="18"/>
                <w:highlight w:val="none"/>
                <w:u w:val="single"/>
                <w:lang w:val="en-US" w:eastAsia="zh-CN"/>
              </w:rPr>
              <w:t>14</w:t>
            </w:r>
            <w:r>
              <w:rPr>
                <w:rFonts w:hint="eastAsia" w:ascii="楷体" w:hAnsi="楷体" w:eastAsia="楷体" w:cs="宋体"/>
                <w:b/>
                <w:spacing w:val="-2"/>
                <w:sz w:val="18"/>
                <w:szCs w:val="18"/>
                <w:highlight w:val="none"/>
                <w:u w:val="single"/>
              </w:rPr>
              <w:t>天</w:t>
            </w:r>
            <w:r>
              <w:rPr>
                <w:rFonts w:ascii="楷体" w:hAnsi="楷体" w:eastAsia="楷体" w:cs="宋体"/>
                <w:b/>
                <w:spacing w:val="-2"/>
                <w:sz w:val="18"/>
                <w:szCs w:val="18"/>
                <w:highlight w:val="none"/>
                <w:u w:val="single"/>
              </w:rPr>
              <w:t>以内不可提出赎回申请</w:t>
            </w:r>
            <w:r>
              <w:rPr>
                <w:rFonts w:hint="eastAsia" w:ascii="楷体" w:hAnsi="楷体" w:eastAsia="楷体" w:cs="宋体"/>
                <w:b/>
                <w:spacing w:val="-2"/>
                <w:sz w:val="18"/>
                <w:szCs w:val="18"/>
                <w:highlight w:val="none"/>
                <w:u w:val="singl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开放计划</w:t>
            </w:r>
          </w:p>
        </w:tc>
        <w:tc>
          <w:tcPr>
            <w:tcW w:w="7937" w:type="dxa"/>
            <w:noWrap w:val="0"/>
            <w:vAlign w:val="top"/>
          </w:tcPr>
          <w:p>
            <w:pPr>
              <w:pStyle w:val="32"/>
              <w:keepNext w:val="0"/>
              <w:keepLines w:val="0"/>
              <w:pageBreakBefore w:val="0"/>
              <w:widowControl w:val="0"/>
              <w:kinsoku w:val="0"/>
              <w:wordWrap/>
              <w:overflowPunct w:val="0"/>
              <w:topLinePunct w:val="0"/>
              <w:autoSpaceDE/>
              <w:autoSpaceDN/>
              <w:bidi w:val="0"/>
              <w:adjustRightInd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b/>
                <w:bCs/>
                <w:spacing w:val="-2"/>
                <w:sz w:val="18"/>
                <w:szCs w:val="18"/>
                <w:highlight w:val="none"/>
                <w:u w:val="single"/>
              </w:rPr>
              <w:t>本产品封闭运作期结束后，自2025年</w:t>
            </w:r>
            <w:r>
              <w:rPr>
                <w:rFonts w:hint="eastAsia" w:ascii="楷体" w:hAnsi="楷体" w:eastAsia="楷体" w:cs="宋体"/>
                <w:b/>
                <w:bCs/>
                <w:spacing w:val="-2"/>
                <w:sz w:val="18"/>
                <w:szCs w:val="18"/>
                <w:highlight w:val="none"/>
                <w:u w:val="single"/>
                <w:lang w:val="en-US" w:eastAsia="zh-CN"/>
              </w:rPr>
              <w:t>12</w:t>
            </w:r>
            <w:r>
              <w:rPr>
                <w:rFonts w:hint="eastAsia" w:ascii="楷体" w:hAnsi="楷体" w:eastAsia="楷体" w:cs="宋体"/>
                <w:b/>
                <w:bCs/>
                <w:spacing w:val="-2"/>
                <w:sz w:val="18"/>
                <w:szCs w:val="18"/>
                <w:highlight w:val="none"/>
                <w:u w:val="single"/>
              </w:rPr>
              <w:t>月</w:t>
            </w:r>
            <w:r>
              <w:rPr>
                <w:rFonts w:hint="eastAsia" w:ascii="楷体" w:hAnsi="楷体" w:eastAsia="楷体" w:cs="宋体"/>
                <w:b/>
                <w:bCs/>
                <w:spacing w:val="-2"/>
                <w:sz w:val="18"/>
                <w:szCs w:val="18"/>
                <w:highlight w:val="none"/>
                <w:u w:val="single"/>
                <w:lang w:val="en-US" w:eastAsia="zh-CN"/>
              </w:rPr>
              <w:t>8</w:t>
            </w:r>
            <w:r>
              <w:rPr>
                <w:rFonts w:hint="eastAsia" w:ascii="楷体" w:hAnsi="楷体" w:eastAsia="楷体" w:cs="宋体"/>
                <w:b/>
                <w:bCs/>
                <w:spacing w:val="-2"/>
                <w:sz w:val="18"/>
                <w:szCs w:val="18"/>
                <w:highlight w:val="none"/>
                <w:u w:val="single"/>
              </w:rPr>
              <w:t>日起</w:t>
            </w:r>
            <w:r>
              <w:rPr>
                <w:rFonts w:hint="eastAsia" w:ascii="楷体" w:hAnsi="楷体" w:eastAsia="楷体" w:cs="宋体"/>
                <w:b/>
                <w:bCs/>
                <w:spacing w:val="-2"/>
                <w:sz w:val="18"/>
                <w:szCs w:val="18"/>
                <w:highlight w:val="none"/>
                <w:u w:val="single"/>
                <w:lang w:val="en-US" w:eastAsia="zh-CN"/>
              </w:rPr>
              <w:t>按开放日</w:t>
            </w:r>
            <w:r>
              <w:rPr>
                <w:rFonts w:hint="eastAsia" w:ascii="楷体" w:hAnsi="楷体" w:eastAsia="楷体" w:cs="宋体"/>
                <w:b/>
                <w:bCs/>
                <w:spacing w:val="-2"/>
                <w:sz w:val="18"/>
                <w:szCs w:val="18"/>
                <w:highlight w:val="none"/>
                <w:u w:val="single"/>
              </w:rPr>
              <w:t>接受</w:t>
            </w:r>
            <w:r>
              <w:rPr>
                <w:rFonts w:hint="eastAsia" w:ascii="楷体" w:hAnsi="楷体" w:eastAsia="楷体" w:cs="宋体"/>
                <w:b/>
                <w:bCs/>
                <w:spacing w:val="-2"/>
                <w:sz w:val="18"/>
                <w:szCs w:val="18"/>
                <w:highlight w:val="none"/>
                <w:u w:val="single"/>
                <w:lang w:val="en-US" w:eastAsia="zh-CN"/>
              </w:rPr>
              <w:t>投资者的</w:t>
            </w:r>
            <w:r>
              <w:rPr>
                <w:rFonts w:hint="eastAsia" w:ascii="楷体" w:hAnsi="楷体" w:eastAsia="楷体" w:cs="宋体"/>
                <w:b/>
                <w:bCs/>
                <w:spacing w:val="-2"/>
                <w:sz w:val="18"/>
                <w:szCs w:val="18"/>
                <w:highlight w:val="none"/>
                <w:u w:val="single"/>
              </w:rPr>
              <w:t>申购/赎回申请，每个交易日为产品开放日。</w:t>
            </w:r>
            <w:r>
              <w:rPr>
                <w:rFonts w:hint="eastAsia" w:ascii="楷体" w:hAnsi="楷体" w:eastAsia="楷体" w:cs="宋体"/>
                <w:spacing w:val="-2"/>
                <w:sz w:val="18"/>
                <w:szCs w:val="18"/>
                <w:highlight w:val="none"/>
              </w:rPr>
              <w:t>管理人有权根据资产运作情况、节假日安排</w:t>
            </w:r>
            <w:r>
              <w:rPr>
                <w:rFonts w:hint="eastAsia" w:ascii="楷体" w:hAnsi="楷体" w:eastAsia="楷体" w:cs="宋体"/>
                <w:spacing w:val="-2"/>
                <w:sz w:val="18"/>
                <w:szCs w:val="18"/>
                <w:highlight w:val="none"/>
                <w:lang w:val="en-US" w:eastAsia="zh-CN"/>
              </w:rPr>
              <w:t>等</w:t>
            </w:r>
            <w:r>
              <w:rPr>
                <w:rFonts w:hint="eastAsia" w:ascii="楷体" w:hAnsi="楷体" w:eastAsia="楷体" w:cs="宋体"/>
                <w:spacing w:val="-2"/>
                <w:sz w:val="18"/>
                <w:szCs w:val="18"/>
                <w:highlight w:val="none"/>
              </w:rPr>
              <w:t>调整开放日，并在调整前进行公告。</w:t>
            </w:r>
            <w:r>
              <w:rPr>
                <w:rFonts w:hint="eastAsia" w:ascii="楷体" w:hAnsi="楷体" w:eastAsia="楷体" w:cs="宋体"/>
                <w:b/>
                <w:bCs/>
                <w:spacing w:val="-2"/>
                <w:sz w:val="18"/>
                <w:szCs w:val="18"/>
                <w:highlight w:val="none"/>
                <w:u w:val="single"/>
              </w:rPr>
              <w:t>交易日指上海证券交易所和深圳证券交易所的正常开盘交易日。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单笔</w:t>
            </w:r>
            <w:r>
              <w:rPr>
                <w:rFonts w:hint="eastAsia" w:ascii="楷体" w:hAnsi="楷体" w:eastAsia="楷体" w:cs="宋体"/>
                <w:b/>
                <w:spacing w:val="-2"/>
                <w:sz w:val="18"/>
                <w:szCs w:val="18"/>
                <w:highlight w:val="none"/>
                <w:lang w:val="en-US" w:eastAsia="zh-CN"/>
              </w:rPr>
              <w:t>购买</w:t>
            </w:r>
            <w:r>
              <w:rPr>
                <w:rFonts w:hint="eastAsia" w:ascii="楷体" w:hAnsi="楷体" w:eastAsia="楷体" w:cs="宋体"/>
                <w:b/>
                <w:spacing w:val="-2"/>
                <w:sz w:val="18"/>
                <w:szCs w:val="18"/>
                <w:highlight w:val="none"/>
              </w:rPr>
              <w:t>上限</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lang w:val="en-US" w:eastAsia="zh-CN"/>
              </w:rPr>
              <w:t>10000万</w:t>
            </w:r>
            <w:r>
              <w:rPr>
                <w:rFonts w:hint="eastAsia" w:ascii="楷体" w:hAnsi="楷体" w:eastAsia="楷体" w:cs="宋体"/>
                <w:spacing w:val="-2"/>
                <w:sz w:val="18"/>
                <w:szCs w:val="18"/>
                <w:highlight w:val="none"/>
              </w:rPr>
              <w:t>元。超过购买上限时，管理人有权拒绝投资者</w:t>
            </w:r>
            <w:r>
              <w:rPr>
                <w:rFonts w:hint="eastAsia" w:ascii="楷体" w:hAnsi="楷体" w:eastAsia="楷体" w:cs="宋体"/>
                <w:spacing w:val="-2"/>
                <w:sz w:val="18"/>
                <w:szCs w:val="18"/>
                <w:highlight w:val="none"/>
                <w:lang w:val="en-US" w:eastAsia="zh-CN"/>
              </w:rPr>
              <w:t>购买</w:t>
            </w:r>
            <w:r>
              <w:rPr>
                <w:rFonts w:hint="eastAsia" w:ascii="楷体" w:hAnsi="楷体" w:eastAsia="楷体" w:cs="宋体"/>
                <w:spacing w:val="-2"/>
                <w:sz w:val="18"/>
                <w:szCs w:val="18"/>
                <w:highlight w:val="none"/>
              </w:rPr>
              <w:t>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spacing w:val="-2"/>
                <w:sz w:val="18"/>
                <w:szCs w:val="18"/>
                <w:highlight w:val="none"/>
              </w:rPr>
              <w:t>单笔购买上限。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投资者单笔</w:t>
            </w:r>
            <w:r>
              <w:rPr>
                <w:rFonts w:ascii="楷体" w:hAnsi="楷体" w:eastAsia="楷体" w:cs="宋体"/>
                <w:b/>
                <w:spacing w:val="-2"/>
                <w:sz w:val="18"/>
                <w:szCs w:val="18"/>
                <w:highlight w:val="none"/>
              </w:rPr>
              <w:t>赎回</w:t>
            </w:r>
            <w:r>
              <w:rPr>
                <w:rFonts w:hint="eastAsia" w:ascii="楷体" w:hAnsi="楷体" w:eastAsia="楷体" w:cs="宋体"/>
                <w:b/>
                <w:spacing w:val="-2"/>
                <w:sz w:val="18"/>
                <w:szCs w:val="18"/>
                <w:highlight w:val="none"/>
              </w:rPr>
              <w:t>上限</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ascii="楷体" w:hAnsi="楷体" w:eastAsia="楷体" w:cs="宋体"/>
                <w:spacing w:val="-2"/>
                <w:sz w:val="18"/>
                <w:szCs w:val="18"/>
                <w:highlight w:val="none"/>
              </w:rPr>
            </w:pPr>
            <w:r>
              <w:rPr>
                <w:rFonts w:hint="eastAsia" w:ascii="楷体" w:hAnsi="楷体" w:eastAsia="楷体" w:cs="宋体"/>
                <w:spacing w:val="-2"/>
                <w:sz w:val="18"/>
                <w:szCs w:val="18"/>
                <w:highlight w:val="none"/>
                <w:lang w:val="en-US" w:eastAsia="zh-CN"/>
              </w:rPr>
              <w:t>10000万</w:t>
            </w:r>
            <w:r>
              <w:rPr>
                <w:rFonts w:hint="eastAsia" w:ascii="楷体" w:hAnsi="楷体" w:eastAsia="楷体" w:cs="宋体"/>
                <w:spacing w:val="-2"/>
                <w:sz w:val="18"/>
                <w:szCs w:val="18"/>
                <w:highlight w:val="none"/>
              </w:rPr>
              <w:t>份。超过</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上限时，管理人有权拒绝投资者</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spacing w:val="-2"/>
                <w:sz w:val="18"/>
                <w:szCs w:val="18"/>
                <w:highlight w:val="none"/>
              </w:rPr>
              <w:t>单笔赎回上限。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kern w:val="0"/>
                <w:sz w:val="18"/>
                <w:szCs w:val="18"/>
                <w:highlight w:val="none"/>
                <w:lang w:val="en-US" w:eastAsia="zh-CN" w:bidi="ar-SA"/>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持有比例上限</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rPr>
              <w:t>单一投资者持有份额不得超过总份额50%。非因主观因素导致突破前款规定比例限制的，在单一投资者持有份额占理财产品总份额比例降至50%以下之前，不再接受该单一投资者对理财产品的购买申请。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巨额</w:t>
            </w:r>
            <w:r>
              <w:rPr>
                <w:rFonts w:ascii="楷体" w:hAnsi="楷体" w:eastAsia="楷体" w:cs="宋体"/>
                <w:b/>
                <w:spacing w:val="-2"/>
                <w:sz w:val="18"/>
                <w:szCs w:val="18"/>
                <w:highlight w:val="none"/>
              </w:rPr>
              <w:t>申购</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kern w:val="0"/>
                <w:sz w:val="18"/>
                <w:szCs w:val="18"/>
                <w:highlight w:val="none"/>
              </w:rPr>
            </w:pPr>
            <w:r>
              <w:rPr>
                <w:rFonts w:hint="eastAsia" w:ascii="楷体" w:hAnsi="楷体" w:eastAsia="楷体" w:cs="宋体"/>
                <w:spacing w:val="-2"/>
                <w:kern w:val="0"/>
                <w:sz w:val="18"/>
                <w:szCs w:val="18"/>
                <w:highlight w:val="none"/>
              </w:rPr>
              <w:t>本产品单个开放日投资者净申购额（申购申请份额总数扣除赎回申请份额总数）超过上一日</w:t>
            </w:r>
            <w:r>
              <w:rPr>
                <w:rFonts w:hint="eastAsia" w:ascii="楷体" w:hAnsi="楷体" w:eastAsia="楷体" w:cs="宋体"/>
                <w:spacing w:val="-2"/>
                <w:kern w:val="0"/>
                <w:sz w:val="18"/>
                <w:szCs w:val="18"/>
                <w:highlight w:val="none"/>
                <w:lang w:val="en-US" w:eastAsia="zh-CN"/>
              </w:rPr>
              <w:t>日终</w:t>
            </w:r>
            <w:r>
              <w:rPr>
                <w:rFonts w:hint="eastAsia" w:ascii="楷体" w:hAnsi="楷体" w:eastAsia="楷体" w:cs="宋体"/>
                <w:spacing w:val="-2"/>
                <w:kern w:val="0"/>
                <w:sz w:val="18"/>
                <w:szCs w:val="18"/>
                <w:highlight w:val="none"/>
              </w:rPr>
              <w:t>份额20%时，即认为发生了巨额申购。</w:t>
            </w:r>
            <w:r>
              <w:rPr>
                <w:rFonts w:hint="eastAsia" w:ascii="楷体" w:hAnsi="楷体" w:eastAsia="楷体" w:cs="宋体"/>
                <w:b/>
                <w:bCs/>
                <w:spacing w:val="-2"/>
                <w:kern w:val="0"/>
                <w:sz w:val="18"/>
                <w:szCs w:val="18"/>
                <w:highlight w:val="none"/>
                <w:u w:val="single"/>
              </w:rPr>
              <w:t>当出现巨额申购时，管理人有权拒绝投资者的全部或部分申购申请。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巨额赎回</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w:t>
            </w:r>
            <w:r>
              <w:rPr>
                <w:rFonts w:hint="eastAsia" w:ascii="楷体" w:hAnsi="楷体" w:eastAsia="楷体" w:cs="宋体"/>
                <w:b/>
                <w:bCs/>
                <w:spacing w:val="-2"/>
                <w:sz w:val="18"/>
                <w:szCs w:val="18"/>
                <w:highlight w:val="none"/>
                <w:u w:val="single"/>
                <w:lang w:val="en-US" w:eastAsia="zh-CN"/>
              </w:rPr>
              <w:t>单</w:t>
            </w:r>
            <w:r>
              <w:rPr>
                <w:rFonts w:hint="eastAsia" w:ascii="楷体" w:hAnsi="楷体" w:eastAsia="楷体" w:cs="宋体"/>
                <w:b/>
                <w:bCs/>
                <w:spacing w:val="-2"/>
                <w:sz w:val="18"/>
                <w:szCs w:val="18"/>
                <w:highlight w:val="none"/>
                <w:u w:val="single"/>
              </w:rPr>
              <w:t>个开放日投资者净赎回额（赎回申请份额总数扣除申购申请份额总数）超过上一日</w:t>
            </w:r>
            <w:r>
              <w:rPr>
                <w:rFonts w:hint="eastAsia" w:ascii="楷体" w:hAnsi="楷体" w:eastAsia="楷体" w:cs="宋体"/>
                <w:b/>
                <w:bCs/>
                <w:spacing w:val="-2"/>
                <w:sz w:val="18"/>
                <w:szCs w:val="18"/>
                <w:highlight w:val="none"/>
                <w:u w:val="single"/>
                <w:lang w:val="en-US" w:eastAsia="zh-CN"/>
              </w:rPr>
              <w:t>日终</w:t>
            </w:r>
            <w:r>
              <w:rPr>
                <w:rFonts w:hint="eastAsia" w:ascii="楷体" w:hAnsi="楷体" w:eastAsia="楷体" w:cs="宋体"/>
                <w:b/>
                <w:bCs/>
                <w:spacing w:val="-2"/>
                <w:sz w:val="18"/>
                <w:szCs w:val="18"/>
                <w:highlight w:val="none"/>
                <w:u w:val="single"/>
              </w:rPr>
              <w:t>份额10%时，即</w:t>
            </w:r>
            <w:r>
              <w:rPr>
                <w:rFonts w:hint="eastAsia" w:ascii="楷体" w:hAnsi="楷体" w:eastAsia="楷体" w:cs="宋体"/>
                <w:b/>
                <w:bCs/>
                <w:spacing w:val="-2"/>
                <w:sz w:val="18"/>
                <w:szCs w:val="18"/>
                <w:highlight w:val="none"/>
                <w:u w:val="single"/>
                <w:lang w:val="en-US" w:eastAsia="zh-CN"/>
              </w:rPr>
              <w:t>认</w:t>
            </w:r>
            <w:r>
              <w:rPr>
                <w:rFonts w:hint="eastAsia" w:ascii="楷体" w:hAnsi="楷体" w:eastAsia="楷体" w:cs="宋体"/>
                <w:b/>
                <w:bCs/>
                <w:spacing w:val="-2"/>
                <w:sz w:val="18"/>
                <w:szCs w:val="18"/>
                <w:highlight w:val="none"/>
                <w:u w:val="single"/>
              </w:rPr>
              <w:t>为发生</w:t>
            </w:r>
            <w:r>
              <w:rPr>
                <w:rFonts w:hint="eastAsia" w:ascii="楷体" w:hAnsi="楷体" w:eastAsia="楷体" w:cs="宋体"/>
                <w:b/>
                <w:bCs/>
                <w:spacing w:val="-2"/>
                <w:sz w:val="18"/>
                <w:szCs w:val="18"/>
                <w:highlight w:val="none"/>
                <w:u w:val="single"/>
                <w:lang w:val="en-US" w:eastAsia="zh-CN"/>
              </w:rPr>
              <w:t>了</w:t>
            </w:r>
            <w:r>
              <w:rPr>
                <w:rFonts w:hint="eastAsia" w:ascii="楷体" w:hAnsi="楷体" w:eastAsia="楷体" w:cs="宋体"/>
                <w:b/>
                <w:bCs/>
                <w:spacing w:val="-2"/>
                <w:sz w:val="18"/>
                <w:szCs w:val="18"/>
                <w:highlight w:val="none"/>
                <w:u w:val="single"/>
              </w:rPr>
              <w:t>巨额赎回。管理人可以根据本产品当时的资产组合状况决定采取全额赎回、部分赎回、</w:t>
            </w:r>
            <w:r>
              <w:rPr>
                <w:rFonts w:ascii="楷体" w:hAnsi="楷体" w:eastAsia="楷体" w:cs="宋体"/>
                <w:b/>
                <w:bCs/>
                <w:spacing w:val="-2"/>
                <w:sz w:val="18"/>
                <w:szCs w:val="18"/>
                <w:highlight w:val="none"/>
                <w:u w:val="single"/>
              </w:rPr>
              <w:t>延期</w:t>
            </w:r>
            <w:r>
              <w:rPr>
                <w:rFonts w:hint="eastAsia" w:ascii="楷体" w:hAnsi="楷体" w:eastAsia="楷体" w:cs="宋体"/>
                <w:b/>
                <w:bCs/>
                <w:spacing w:val="-2"/>
                <w:sz w:val="18"/>
                <w:szCs w:val="18"/>
                <w:highlight w:val="none"/>
                <w:u w:val="single"/>
              </w:rPr>
              <w:t>办理</w:t>
            </w:r>
            <w:r>
              <w:rPr>
                <w:rFonts w:ascii="楷体" w:hAnsi="楷体" w:eastAsia="楷体" w:cs="宋体"/>
                <w:b/>
                <w:bCs/>
                <w:spacing w:val="-2"/>
                <w:sz w:val="18"/>
                <w:szCs w:val="18"/>
                <w:highlight w:val="none"/>
                <w:u w:val="single"/>
              </w:rPr>
              <w:t>巨额赎回</w:t>
            </w:r>
            <w:r>
              <w:rPr>
                <w:rFonts w:hint="eastAsia" w:ascii="楷体" w:hAnsi="楷体" w:eastAsia="楷体" w:cs="宋体"/>
                <w:b/>
                <w:bCs/>
                <w:spacing w:val="-2"/>
                <w:sz w:val="18"/>
                <w:szCs w:val="18"/>
                <w:highlight w:val="none"/>
                <w:u w:val="single"/>
              </w:rPr>
              <w:t>等</w:t>
            </w:r>
            <w:r>
              <w:rPr>
                <w:rFonts w:ascii="楷体" w:hAnsi="楷体" w:eastAsia="楷体" w:cs="宋体"/>
                <w:b/>
                <w:bCs/>
                <w:spacing w:val="-2"/>
                <w:sz w:val="18"/>
                <w:szCs w:val="18"/>
                <w:highlight w:val="none"/>
                <w:u w:val="single"/>
              </w:rPr>
              <w:t>措施</w:t>
            </w:r>
            <w:r>
              <w:rPr>
                <w:rFonts w:hint="eastAsia" w:ascii="楷体" w:hAnsi="楷体" w:eastAsia="楷体" w:cs="宋体"/>
                <w:b/>
                <w:bCs/>
                <w:spacing w:val="-2"/>
                <w:sz w:val="18"/>
                <w:szCs w:val="18"/>
                <w:highlight w:val="none"/>
                <w:u w:val="single"/>
              </w:rPr>
              <w:t>，管理人将在采取</w:t>
            </w:r>
            <w:r>
              <w:rPr>
                <w:rFonts w:ascii="楷体" w:hAnsi="楷体" w:eastAsia="楷体" w:cs="宋体"/>
                <w:b/>
                <w:bCs/>
                <w:spacing w:val="-2"/>
                <w:sz w:val="18"/>
                <w:szCs w:val="18"/>
                <w:highlight w:val="none"/>
                <w:u w:val="single"/>
              </w:rPr>
              <w:t>相关</w:t>
            </w:r>
            <w:r>
              <w:rPr>
                <w:rFonts w:hint="eastAsia" w:ascii="楷体" w:hAnsi="楷体" w:eastAsia="楷体" w:cs="宋体"/>
                <w:b/>
                <w:bCs/>
                <w:spacing w:val="-2"/>
                <w:sz w:val="18"/>
                <w:szCs w:val="18"/>
                <w:highlight w:val="none"/>
                <w:u w:val="single"/>
              </w:rPr>
              <w:t>措施后3个工作日内进行信息披露。</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ascii="楷体" w:hAnsi="楷体" w:eastAsia="楷体" w:cs="宋体"/>
                <w:b w:val="0"/>
                <w:bCs/>
                <w:spacing w:val="-2"/>
                <w:sz w:val="18"/>
                <w:szCs w:val="18"/>
                <w:highlight w:val="none"/>
                <w:u w:val="none"/>
              </w:rPr>
            </w:pPr>
            <w:r>
              <w:rPr>
                <w:rFonts w:hint="eastAsia" w:ascii="楷体" w:hAnsi="楷体" w:eastAsia="楷体" w:cs="宋体"/>
                <w:b w:val="0"/>
                <w:bCs/>
                <w:spacing w:val="-2"/>
                <w:sz w:val="18"/>
                <w:szCs w:val="18"/>
                <w:highlight w:val="none"/>
                <w:u w:val="none"/>
              </w:rPr>
              <w:t>1.全额赎回：当管理人有能力兑付投资者的全部赎回申请时，将在申请确认日按投资者申请赎回份额执行正常赎回程序。</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ascii="楷体" w:hAnsi="楷体" w:eastAsia="楷体" w:cs="宋体"/>
                <w:b w:val="0"/>
                <w:bCs/>
                <w:spacing w:val="-2"/>
                <w:sz w:val="18"/>
                <w:szCs w:val="18"/>
                <w:highlight w:val="none"/>
                <w:u w:val="none"/>
              </w:rPr>
            </w:pPr>
            <w:r>
              <w:rPr>
                <w:rFonts w:hint="eastAsia" w:ascii="楷体" w:hAnsi="楷体" w:eastAsia="楷体" w:cs="宋体"/>
                <w:b w:val="0"/>
                <w:bCs/>
                <w:spacing w:val="-2"/>
                <w:sz w:val="18"/>
                <w:szCs w:val="18"/>
                <w:highlight w:val="none"/>
                <w:u w:val="none"/>
              </w:rPr>
              <w:t>2.部分赎回</w:t>
            </w:r>
            <w:r>
              <w:rPr>
                <w:rFonts w:ascii="楷体" w:hAnsi="楷体" w:eastAsia="楷体" w:cs="宋体"/>
                <w:b w:val="0"/>
                <w:bCs/>
                <w:spacing w:val="-2"/>
                <w:sz w:val="18"/>
                <w:szCs w:val="18"/>
                <w:highlight w:val="none"/>
                <w:u w:val="none"/>
              </w:rPr>
              <w:t>：</w:t>
            </w:r>
            <w:r>
              <w:rPr>
                <w:rFonts w:hint="eastAsia" w:ascii="楷体" w:hAnsi="楷体" w:eastAsia="楷体" w:cs="宋体"/>
                <w:b w:val="0"/>
                <w:bCs/>
                <w:spacing w:val="-2"/>
                <w:sz w:val="18"/>
                <w:szCs w:val="18"/>
                <w:highlight w:val="none"/>
                <w:u w:val="none"/>
              </w:rPr>
              <w:t>当管理人认为兑付投资者的赎回申请可能会对产品的资产净值造成较大波动时，当日办理的赎回份额不得低于前一</w:t>
            </w:r>
            <w:r>
              <w:rPr>
                <w:rFonts w:hint="eastAsia" w:ascii="楷体" w:hAnsi="楷体" w:eastAsia="楷体" w:cs="宋体"/>
                <w:b w:val="0"/>
                <w:bCs/>
                <w:spacing w:val="-2"/>
                <w:sz w:val="18"/>
                <w:szCs w:val="18"/>
                <w:highlight w:val="none"/>
                <w:u w:val="none"/>
                <w:lang w:val="en-US" w:eastAsia="zh-CN"/>
              </w:rPr>
              <w:t>日</w:t>
            </w:r>
            <w:r>
              <w:rPr>
                <w:rFonts w:hint="eastAsia" w:ascii="楷体" w:hAnsi="楷体" w:eastAsia="楷体" w:cs="宋体"/>
                <w:b w:val="0"/>
                <w:bCs/>
                <w:spacing w:val="-2"/>
                <w:sz w:val="18"/>
                <w:szCs w:val="18"/>
                <w:highlight w:val="none"/>
                <w:u w:val="none"/>
              </w:rPr>
              <w:t>日终理财产品总份额的10%，对其余赎回申请管理人有权暂停接受或延期办理。对该产品单个</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b w:val="0"/>
                <w:bCs/>
                <w:spacing w:val="-2"/>
                <w:sz w:val="18"/>
                <w:szCs w:val="18"/>
                <w:highlight w:val="none"/>
                <w:u w:val="none"/>
              </w:rPr>
              <w:t>的赎回申请，按照其申请占当日申请赎回总份额的比例，确定该</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b w:val="0"/>
                <w:bCs/>
                <w:spacing w:val="-2"/>
                <w:sz w:val="18"/>
                <w:szCs w:val="18"/>
                <w:highlight w:val="none"/>
                <w:u w:val="none"/>
              </w:rPr>
              <w:t>当日办理的赎回份额。</w:t>
            </w:r>
            <w:r>
              <w:rPr>
                <w:rFonts w:hint="eastAsia" w:ascii="楷体" w:hAnsi="楷体" w:eastAsia="楷体" w:cs="宋体"/>
                <w:b w:val="0"/>
                <w:bCs/>
                <w:spacing w:val="-2"/>
                <w:sz w:val="18"/>
                <w:szCs w:val="18"/>
                <w:highlight w:val="none"/>
                <w:u w:val="none"/>
                <w:lang w:eastAsia="zh-CN"/>
              </w:rPr>
              <w:t>（</w:t>
            </w:r>
            <w:r>
              <w:rPr>
                <w:rFonts w:hint="eastAsia" w:ascii="楷体" w:hAnsi="楷体" w:eastAsia="楷体" w:cs="宋体"/>
                <w:b w:val="0"/>
                <w:bCs/>
                <w:spacing w:val="-2"/>
                <w:sz w:val="18"/>
                <w:szCs w:val="18"/>
                <w:highlight w:val="none"/>
                <w:u w:val="none"/>
                <w:lang w:val="en-US" w:eastAsia="zh-CN"/>
              </w:rPr>
              <w:t>示例：某</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b w:val="0"/>
                <w:bCs/>
                <w:spacing w:val="-2"/>
                <w:sz w:val="18"/>
                <w:szCs w:val="18"/>
                <w:highlight w:val="none"/>
                <w:u w:val="none"/>
                <w:lang w:val="en-US" w:eastAsia="zh-CN"/>
              </w:rPr>
              <w:t>当日申请赎回份额5万份，当日全部赎回申请10000万份，假设前一日日终总份额50000万份，发生巨额赎回，管理人当日办理的赎回份额5000万份，则该</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b w:val="0"/>
                <w:bCs/>
                <w:spacing w:val="-2"/>
                <w:sz w:val="18"/>
                <w:szCs w:val="18"/>
                <w:highlight w:val="none"/>
                <w:u w:val="none"/>
                <w:lang w:val="en-US" w:eastAsia="zh-CN"/>
              </w:rPr>
              <w:t>当日确认办理的份额为5/10000*5000=2.5万份</w:t>
            </w:r>
            <w:r>
              <w:rPr>
                <w:rFonts w:hint="eastAsia" w:ascii="楷体" w:hAnsi="楷体" w:eastAsia="楷体" w:cs="宋体"/>
                <w:b w:val="0"/>
                <w:bCs/>
                <w:spacing w:val="-2"/>
                <w:sz w:val="18"/>
                <w:szCs w:val="18"/>
                <w:highlight w:val="none"/>
                <w:u w:val="none"/>
              </w:rPr>
              <w:t>。</w:t>
            </w:r>
            <w:r>
              <w:rPr>
                <w:rFonts w:hint="eastAsia" w:ascii="楷体" w:hAnsi="楷体" w:eastAsia="楷体" w:cs="宋体"/>
                <w:b w:val="0"/>
                <w:bCs/>
                <w:spacing w:val="-2"/>
                <w:sz w:val="18"/>
                <w:szCs w:val="18"/>
                <w:highlight w:val="none"/>
                <w:u w:val="none"/>
                <w:lang w:val="en-US" w:eastAsia="zh-CN"/>
              </w:rPr>
              <w:t>）</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val="0"/>
                <w:bCs/>
                <w:spacing w:val="-2"/>
                <w:sz w:val="18"/>
                <w:szCs w:val="18"/>
                <w:highlight w:val="none"/>
                <w:u w:val="none"/>
              </w:rPr>
            </w:pPr>
            <w:r>
              <w:rPr>
                <w:rFonts w:hint="eastAsia" w:ascii="楷体" w:hAnsi="楷体" w:eastAsia="楷体" w:cs="宋体"/>
                <w:b w:val="0"/>
                <w:bCs/>
                <w:spacing w:val="-2"/>
                <w:sz w:val="18"/>
                <w:szCs w:val="18"/>
                <w:highlight w:val="none"/>
                <w:u w:val="none"/>
              </w:rPr>
              <w:t>若管理人对于超过10%以上部分的赎回申请选择延期办理，对于未能赎回部分，投资者可选择将当日未获办理的赎回申请予以撤销。投资者未选择撤销的，管理人有权延期至下一个开放日办理，延期至下一个开放日办理的赎回价格为下一个开放日的价格，顺延至下一开放日的赎回申请不享有优先确认权。</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spacing w:val="-2"/>
                <w:sz w:val="18"/>
                <w:szCs w:val="18"/>
                <w:highlight w:val="none"/>
                <w:u w:val="single"/>
              </w:rPr>
            </w:pPr>
            <w:r>
              <w:rPr>
                <w:rFonts w:hint="eastAsia" w:ascii="楷体" w:hAnsi="楷体" w:eastAsia="楷体" w:cs="宋体"/>
                <w:b w:val="0"/>
                <w:bCs/>
                <w:spacing w:val="-2"/>
                <w:sz w:val="18"/>
                <w:szCs w:val="18"/>
                <w:highlight w:val="none"/>
                <w:u w:val="none"/>
              </w:rPr>
              <w:t>3.延缓支付赎回款项：连续2个以上开放日发生巨额赎回的，管理人除有权选择全额赎回或部分赎回等措施外，对于已经接受的赎回申请，管理人可以延缓支付赎回款项，但延缓期限不得超过20个工作日。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业绩比较基准</w:t>
            </w:r>
          </w:p>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（年化）</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spacing w:val="-2"/>
                <w:sz w:val="18"/>
                <w:szCs w:val="18"/>
                <w:highlight w:val="none"/>
                <w:u w:val="single"/>
                <w:lang w:val="en-US" w:eastAsia="zh-CN"/>
              </w:rPr>
            </w:pPr>
            <w:r>
              <w:rPr>
                <w:rFonts w:hint="eastAsia" w:ascii="楷体" w:hAnsi="楷体" w:eastAsia="楷体" w:cs="宋体"/>
                <w:b/>
                <w:spacing w:val="-2"/>
                <w:sz w:val="18"/>
                <w:szCs w:val="18"/>
                <w:highlight w:val="none"/>
                <w:u w:val="single"/>
                <w:lang w:val="en-US" w:eastAsia="zh-CN"/>
              </w:rPr>
              <w:t>1.管理人</w:t>
            </w:r>
            <w:r>
              <w:rPr>
                <w:rFonts w:hint="eastAsia" w:ascii="楷体" w:hAnsi="楷体" w:eastAsia="楷体" w:cs="宋体"/>
                <w:b/>
                <w:spacing w:val="-2"/>
                <w:sz w:val="18"/>
                <w:szCs w:val="18"/>
                <w:highlight w:val="none"/>
                <w:u w:val="single"/>
              </w:rPr>
              <w:t>参考过往投资经验，依据近期</w:t>
            </w:r>
            <w:r>
              <w:rPr>
                <w:rFonts w:hint="eastAsia" w:ascii="楷体" w:hAnsi="楷体" w:eastAsia="楷体" w:cs="宋体"/>
                <w:b/>
                <w:spacing w:val="-2"/>
                <w:sz w:val="18"/>
                <w:szCs w:val="18"/>
                <w:highlight w:val="none"/>
                <w:u w:val="single"/>
                <w:lang w:val="en-US" w:eastAsia="zh-CN"/>
              </w:rPr>
              <w:t>货币市场工具、债券等</w:t>
            </w:r>
            <w:r>
              <w:rPr>
                <w:rFonts w:hint="eastAsia" w:ascii="楷体" w:hAnsi="楷体" w:eastAsia="楷体" w:cs="宋体"/>
                <w:b/>
                <w:spacing w:val="-2"/>
                <w:sz w:val="18"/>
                <w:szCs w:val="18"/>
                <w:highlight w:val="none"/>
                <w:u w:val="single"/>
              </w:rPr>
              <w:t>资产投资收益水平，在产品说明书约定的投资范围和投资比例内，综合考虑各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份额收取的</w:t>
            </w:r>
            <w:r>
              <w:rPr>
                <w:rFonts w:hint="eastAsia" w:ascii="楷体" w:hAnsi="楷体" w:eastAsia="楷体" w:cs="宋体"/>
                <w:b/>
                <w:spacing w:val="-2"/>
                <w:sz w:val="18"/>
                <w:szCs w:val="18"/>
                <w:highlight w:val="none"/>
                <w:u w:val="single"/>
                <w:lang w:val="en-US" w:eastAsia="zh-CN"/>
              </w:rPr>
              <w:t>销售服务费和投资管理费等费用情况，模拟测算得出业绩比较基准。</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spacing w:val="-2"/>
                <w:sz w:val="18"/>
                <w:szCs w:val="18"/>
                <w:highlight w:val="none"/>
                <w:u w:val="single"/>
              </w:rPr>
            </w:pPr>
            <w:r>
              <w:rPr>
                <w:rFonts w:hint="eastAsia" w:ascii="楷体" w:hAnsi="楷体" w:eastAsia="楷体" w:cs="宋体"/>
                <w:b/>
                <w:spacing w:val="-2"/>
                <w:sz w:val="18"/>
                <w:szCs w:val="18"/>
                <w:highlight w:val="none"/>
                <w:u w:val="single"/>
                <w:lang w:val="en-US" w:eastAsia="zh-CN"/>
              </w:rPr>
              <w:t>2.本产品各类份额可能因收取的销售服务费和投资管理费存在差异，业绩比较基准设置有所不同。</w:t>
            </w:r>
            <w:r>
              <w:rPr>
                <w:rFonts w:hint="eastAsia" w:ascii="楷体" w:hAnsi="楷体" w:eastAsia="楷体" w:cs="宋体"/>
                <w:b w:val="0"/>
                <w:bCs/>
                <w:spacing w:val="-2"/>
                <w:sz w:val="18"/>
                <w:szCs w:val="18"/>
                <w:highlight w:val="none"/>
                <w:u w:val="none"/>
              </w:rPr>
              <w:t>各</w:t>
            </w:r>
            <w:r>
              <w:rPr>
                <w:rFonts w:hint="eastAsia" w:ascii="楷体" w:hAnsi="楷体" w:eastAsia="楷体" w:cs="宋体"/>
                <w:b w:val="0"/>
                <w:bCs/>
                <w:spacing w:val="-2"/>
                <w:sz w:val="18"/>
                <w:szCs w:val="18"/>
                <w:highlight w:val="none"/>
                <w:u w:val="none"/>
                <w:lang w:val="en-US" w:eastAsia="zh-CN"/>
              </w:rPr>
              <w:t>类</w:t>
            </w:r>
            <w:r>
              <w:rPr>
                <w:rFonts w:hint="eastAsia" w:ascii="楷体" w:hAnsi="楷体" w:eastAsia="楷体" w:cs="宋体"/>
                <w:b w:val="0"/>
                <w:bCs/>
                <w:spacing w:val="-2"/>
                <w:sz w:val="18"/>
                <w:szCs w:val="18"/>
                <w:highlight w:val="none"/>
                <w:u w:val="none"/>
              </w:rPr>
              <w:t>份额业绩比较基准如下：</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val="0"/>
                <w:bCs/>
                <w:spacing w:val="-2"/>
                <w:sz w:val="18"/>
                <w:szCs w:val="18"/>
                <w:highlight w:val="none"/>
                <w:u w:val="none"/>
                <w:lang w:val="en-US" w:eastAsia="zh-CN"/>
              </w:rPr>
            </w:pPr>
            <w:r>
              <w:rPr>
                <w:rFonts w:hint="eastAsia" w:ascii="楷体" w:hAnsi="楷体" w:eastAsia="楷体" w:cs="宋体"/>
                <w:b w:val="0"/>
                <w:bCs/>
                <w:spacing w:val="-2"/>
                <w:sz w:val="18"/>
                <w:szCs w:val="18"/>
                <w:highlight w:val="none"/>
                <w:u w:val="none"/>
                <w:lang w:val="en-US" w:eastAsia="zh-CN"/>
              </w:rPr>
              <w:t>中债-新综合财富(1年以下)指数收益率*35%+中国人民银行公布的7天通知存款利率*65%</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b/>
                <w:spacing w:val="-2"/>
                <w:sz w:val="18"/>
                <w:szCs w:val="18"/>
                <w:highlight w:val="none"/>
                <w:u w:val="single"/>
                <w:lang w:val="en-US" w:eastAsia="zh-CN"/>
              </w:rPr>
              <w:t>3.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产品费用</w:t>
            </w:r>
          </w:p>
        </w:tc>
        <w:tc>
          <w:tcPr>
            <w:tcW w:w="7937" w:type="dxa"/>
            <w:noWrap w:val="0"/>
            <w:vAlign w:val="center"/>
          </w:tcPr>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本产品费用包括托管费、销售服务费、投资管理费、超额业绩报酬（如有）以及产品运作和清算中产生的其他费用等。</w:t>
            </w:r>
          </w:p>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1.托管费率（年化）：</w:t>
            </w:r>
            <w:r>
              <w:rPr>
                <w:rFonts w:hint="eastAsia" w:ascii="楷体" w:hAnsi="楷体" w:eastAsia="楷体" w:cs="宋体"/>
                <w:spacing w:val="-2"/>
                <w:sz w:val="18"/>
                <w:szCs w:val="18"/>
                <w:highlight w:val="none"/>
                <w:lang w:val="en-US" w:eastAsia="zh-CN"/>
              </w:rPr>
              <w:t>0.02</w:t>
            </w:r>
            <w:r>
              <w:rPr>
                <w:rFonts w:hint="eastAsia" w:ascii="楷体" w:hAnsi="楷体" w:eastAsia="楷体" w:cs="宋体"/>
                <w:spacing w:val="-2"/>
                <w:sz w:val="18"/>
                <w:szCs w:val="18"/>
                <w:highlight w:val="none"/>
              </w:rPr>
              <w:t>%。</w:t>
            </w:r>
          </w:p>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2.销售服务费率（年化）：</w:t>
            </w:r>
            <w:r>
              <w:rPr>
                <w:rFonts w:hint="eastAsia" w:ascii="楷体" w:hAnsi="楷体" w:eastAsia="楷体" w:cs="宋体"/>
                <w:spacing w:val="-2"/>
                <w:sz w:val="18"/>
                <w:szCs w:val="18"/>
                <w:highlight w:val="none"/>
                <w:lang w:val="en-US" w:eastAsia="zh-CN"/>
              </w:rPr>
              <w:t>0.30%。</w:t>
            </w:r>
          </w:p>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eastAsia="zh-CN"/>
              </w:rPr>
            </w:pPr>
            <w:r>
              <w:rPr>
                <w:rFonts w:hint="eastAsia" w:ascii="楷体" w:hAnsi="楷体" w:eastAsia="楷体" w:cs="宋体"/>
                <w:spacing w:val="-2"/>
                <w:sz w:val="18"/>
                <w:szCs w:val="18"/>
                <w:highlight w:val="none"/>
              </w:rPr>
              <w:t>3.投资管理费率（年化）：0.60%</w:t>
            </w:r>
            <w:r>
              <w:rPr>
                <w:rFonts w:hint="eastAsia" w:ascii="楷体" w:hAnsi="楷体" w:eastAsia="楷体" w:cs="宋体"/>
                <w:spacing w:val="-2"/>
                <w:sz w:val="18"/>
                <w:szCs w:val="18"/>
                <w:highlight w:val="none"/>
                <w:lang w:eastAsia="zh-CN"/>
              </w:rPr>
              <w:t>。</w:t>
            </w:r>
          </w:p>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4.超额业绩报酬</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lang w:val="en-US" w:eastAsia="zh-CN"/>
              </w:rPr>
              <w:t>如有）</w:t>
            </w:r>
            <w:r>
              <w:rPr>
                <w:rFonts w:hint="eastAsia" w:ascii="楷体" w:hAnsi="楷体" w:eastAsia="楷体" w:cs="宋体"/>
                <w:spacing w:val="-2"/>
                <w:sz w:val="18"/>
                <w:szCs w:val="18"/>
                <w:highlight w:val="none"/>
              </w:rPr>
              <w:t>：</w:t>
            </w:r>
            <w:r>
              <w:rPr>
                <w:rFonts w:hint="eastAsia" w:ascii="楷体" w:hAnsi="楷体" w:eastAsia="楷体" w:cs="宋体"/>
                <w:spacing w:val="-2"/>
                <w:sz w:val="18"/>
                <w:szCs w:val="18"/>
                <w:highlight w:val="none"/>
                <w:lang w:val="en-US" w:eastAsia="zh-CN"/>
              </w:rPr>
              <w:t>无。</w:t>
            </w:r>
          </w:p>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本产品设置有多</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份额按照设置的销售对象和销售起点在不同的销售机构销售，各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份额实际收取的销售服务费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、投资管理费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和超额业绩报酬（如有）可能存在差异，投资者应根据各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份额收费情况自主选择购买。</w:t>
            </w:r>
          </w:p>
          <w:p>
            <w:pPr>
              <w:pStyle w:val="32"/>
              <w:keepNext w:val="0"/>
              <w:keepLines w:val="0"/>
              <w:pageBreakBefore w:val="0"/>
              <w:widowControl w:val="0"/>
              <w:kinsoku w:val="0"/>
              <w:wordWrap/>
              <w:overflowPunct w:val="0"/>
              <w:topLinePunct w:val="0"/>
              <w:autoSpaceDE/>
              <w:autoSpaceDN/>
              <w:bidi w:val="0"/>
              <w:snapToGrid w:val="0"/>
              <w:spacing w:line="240" w:lineRule="auto"/>
              <w:ind w:left="21" w:leftChars="10" w:right="21" w:rightChars="10"/>
              <w:jc w:val="both"/>
              <w:textAlignment w:val="auto"/>
              <w:rPr>
                <w:rFonts w:ascii="楷体" w:hAnsi="楷体" w:eastAsia="楷体" w:cs="宋体"/>
                <w:spacing w:val="-2"/>
                <w:sz w:val="18"/>
                <w:szCs w:val="18"/>
                <w:highlight w:val="non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lang w:val="en-US" w:eastAsia="zh-CN"/>
              </w:rPr>
            </w:pPr>
            <w:r>
              <w:rPr>
                <w:rFonts w:hint="eastAsia" w:ascii="楷体" w:hAnsi="楷体" w:eastAsia="楷体" w:cs="宋体"/>
                <w:b/>
                <w:spacing w:val="-2"/>
                <w:sz w:val="18"/>
                <w:szCs w:val="18"/>
                <w:highlight w:val="none"/>
              </w:rPr>
              <w:t>收益分配</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本产品无分红机制，投资运作情况体现为产品净值变化。产品投资运作到期，投资收益扣除相关费用后，全部分配给投资者。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autoSpaceDN/>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lang w:val="en-US" w:eastAsia="zh-CN"/>
              </w:rPr>
            </w:pPr>
            <w:r>
              <w:rPr>
                <w:rFonts w:hint="eastAsia" w:ascii="楷体" w:hAnsi="楷体" w:eastAsia="楷体" w:cs="宋体"/>
                <w:b/>
                <w:spacing w:val="-2"/>
                <w:sz w:val="18"/>
                <w:szCs w:val="18"/>
                <w:highlight w:val="none"/>
              </w:rPr>
              <w:t>税款</w:t>
            </w:r>
          </w:p>
        </w:tc>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color w:val="auto"/>
                <w:spacing w:val="-2"/>
                <w:sz w:val="18"/>
                <w:szCs w:val="18"/>
                <w:highlight w:val="none"/>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color w:val="auto"/>
                <w:spacing w:val="-2"/>
                <w:sz w:val="18"/>
                <w:szCs w:val="18"/>
                <w:highlight w:val="none"/>
                <w:u w:val="single"/>
              </w:rPr>
              <w:t>投资者从理财产品取得的收益应缴纳的税款，由投资者自行申报及缴纳。</w:t>
            </w:r>
          </w:p>
        </w:tc>
      </w:tr>
    </w:tbl>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产品管理人</w:t>
      </w:r>
    </w:p>
    <w:p>
      <w:pPr>
        <w:keepNext w:val="0"/>
        <w:keepLines w:val="0"/>
        <w:pageBreakBefore w:val="0"/>
        <w:numPr>
          <w:ilvl w:val="0"/>
          <w:numId w:val="0"/>
        </w:numPr>
        <w:wordWrap/>
        <w:topLinePunct w:val="0"/>
        <w:autoSpaceDE/>
        <w:autoSpaceDN/>
        <w:bidi w:val="0"/>
        <w:ind w:left="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本产品管理人为</w:t>
      </w:r>
      <w:r>
        <w:rPr>
          <w:rFonts w:hint="eastAsia" w:ascii="楷体" w:hAnsi="楷体" w:eastAsia="楷体" w:cs="楷体"/>
          <w:b/>
          <w:bCs/>
          <w:color w:val="auto"/>
          <w:sz w:val="21"/>
          <w:szCs w:val="21"/>
          <w:highlight w:val="none"/>
          <w:u w:val="single"/>
        </w:rPr>
        <w:t>苏银理财有限责任公司</w:t>
      </w:r>
      <w:r>
        <w:rPr>
          <w:rFonts w:hint="eastAsia" w:ascii="楷体" w:hAnsi="楷体" w:eastAsia="楷体" w:cs="楷体"/>
          <w:b w:val="0"/>
          <w:bCs w:val="0"/>
          <w:color w:val="auto"/>
          <w:sz w:val="21"/>
          <w:szCs w:val="21"/>
          <w:highlight w:val="none"/>
          <w:u w:val="none"/>
        </w:rPr>
        <w:t>（以下简称“苏银理财”）</w:t>
      </w:r>
      <w:r>
        <w:rPr>
          <w:rFonts w:hint="eastAsia" w:ascii="楷体" w:hAnsi="楷体" w:eastAsia="楷体"/>
          <w:color w:val="auto"/>
          <w:sz w:val="21"/>
          <w:szCs w:val="21"/>
          <w:highlight w:val="none"/>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color w:val="auto"/>
          <w:sz w:val="21"/>
          <w:szCs w:val="21"/>
          <w:highlight w:val="none"/>
          <w:lang w:val="en-US" w:eastAsia="zh-CN"/>
        </w:rPr>
        <w:t>监管机构</w:t>
      </w:r>
      <w:r>
        <w:rPr>
          <w:rFonts w:hint="eastAsia" w:ascii="楷体" w:hAnsi="楷体" w:eastAsia="楷体"/>
          <w:color w:val="auto"/>
          <w:sz w:val="21"/>
          <w:szCs w:val="21"/>
          <w:highlight w:val="none"/>
        </w:rPr>
        <w:t>批准的其他业务等。</w:t>
      </w:r>
    </w:p>
    <w:p>
      <w:pPr>
        <w:keepNext w:val="0"/>
        <w:keepLines w:val="0"/>
        <w:pageBreakBefore w:val="0"/>
        <w:numPr>
          <w:ilvl w:val="0"/>
          <w:numId w:val="0"/>
        </w:numPr>
        <w:wordWrap/>
        <w:topLinePunct w:val="0"/>
        <w:autoSpaceDE/>
        <w:autoSpaceDN/>
        <w:bidi w:val="0"/>
        <w:ind w:left="0" w:firstLine="420" w:firstLineChars="200"/>
        <w:textAlignment w:val="auto"/>
        <w:rPr>
          <w:rFonts w:hint="eastAsia"/>
          <w:highlight w:val="none"/>
        </w:rPr>
      </w:pPr>
      <w:r>
        <w:rPr>
          <w:rFonts w:hint="eastAsia" w:ascii="楷体" w:hAnsi="楷体" w:eastAsia="楷体"/>
          <w:color w:val="auto"/>
          <w:sz w:val="21"/>
          <w:szCs w:val="21"/>
          <w:highlight w:val="none"/>
        </w:rPr>
        <w:t>投资者在此授权并同意苏银理财享有以下权利：</w:t>
      </w:r>
      <w:r>
        <w:rPr>
          <w:rFonts w:hint="eastAsia" w:ascii="楷体" w:hAnsi="楷体" w:eastAsia="楷体" w:cs="Times New Roman"/>
          <w:color w:val="auto"/>
          <w:sz w:val="21"/>
          <w:szCs w:val="21"/>
          <w:highlight w:val="none"/>
        </w:rPr>
        <w:t>按照本理财产品合同的约定，管理、运用和处分理财计划资金</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按照本理财产品合同的约定，及时、足额获得投资管理费</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管理人有权根据本理财产品合同的约定提前终止或延长本理财产品的期限</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管理人有权调整本理财产品的认购规模上限、认购起点、认购金额上限、认购资金的最</w:t>
      </w:r>
      <w:r>
        <w:rPr>
          <w:rFonts w:hint="eastAsia" w:ascii="楷体" w:hAnsi="楷体" w:eastAsia="楷体" w:cs="Times New Roman"/>
          <w:color w:val="auto"/>
          <w:sz w:val="21"/>
          <w:szCs w:val="21"/>
          <w:highlight w:val="none"/>
          <w:lang w:val="en-US" w:eastAsia="zh-CN"/>
        </w:rPr>
        <w:t>低</w:t>
      </w:r>
      <w:r>
        <w:rPr>
          <w:rFonts w:hint="eastAsia" w:ascii="楷体" w:hAnsi="楷体" w:eastAsia="楷体" w:cs="Times New Roman"/>
          <w:color w:val="auto"/>
          <w:sz w:val="21"/>
          <w:szCs w:val="21"/>
          <w:highlight w:val="none"/>
        </w:rPr>
        <w:t>金额等要素</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管理人有权依照法律规定和监管机构的要求将投资者的信息向有权部门或相关机构披露</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以理财产品投资管理人的名义，依照法律法规相关规定以及代表理财产品份额持有人的利益行使代为追索的权利（包括但不限于提起诉讼/仲裁、申请保全/执行的权利）或者实施其他法律行为</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法律法规、监管政策和本理财计划文件约定的其他权利。</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lang w:val="en-US" w:eastAsia="zh-CN"/>
        </w:rPr>
        <w:t>产品托管人</w:t>
      </w:r>
    </w:p>
    <w:p>
      <w:pPr>
        <w:keepNext w:val="0"/>
        <w:keepLines w:val="0"/>
        <w:pageBreakBefore w:val="0"/>
        <w:numPr>
          <w:ilvl w:val="0"/>
          <w:numId w:val="0"/>
        </w:numPr>
        <w:wordWrap/>
        <w:topLinePunct w:val="0"/>
        <w:autoSpaceDE/>
        <w:autoSpaceDN/>
        <w:bidi w:val="0"/>
        <w:ind w:firstLine="420" w:firstLineChars="200"/>
        <w:textAlignment w:val="auto"/>
        <w:rPr>
          <w:rFonts w:hint="eastAsia"/>
          <w:highlight w:val="none"/>
        </w:rPr>
      </w:pPr>
      <w:r>
        <w:rPr>
          <w:rFonts w:hint="eastAsia" w:ascii="楷体" w:hAnsi="楷体" w:eastAsia="楷体"/>
          <w:color w:val="auto"/>
          <w:sz w:val="21"/>
          <w:szCs w:val="21"/>
          <w:highlight w:val="none"/>
        </w:rPr>
        <w:t>本产品托管人为</w:t>
      </w:r>
      <w:r>
        <w:rPr>
          <w:rFonts w:hint="eastAsia" w:ascii="楷体" w:hAnsi="楷体" w:eastAsia="楷体" w:cs="楷体"/>
          <w:b/>
          <w:bCs/>
          <w:color w:val="auto"/>
          <w:sz w:val="21"/>
          <w:szCs w:val="21"/>
          <w:highlight w:val="none"/>
          <w:u w:val="single"/>
          <w:lang w:eastAsia="zh-CN"/>
        </w:rPr>
        <w:t>江苏银行股份有限公司</w:t>
      </w:r>
      <w:r>
        <w:rPr>
          <w:rFonts w:hint="eastAsia" w:ascii="楷体" w:hAnsi="楷体" w:eastAsia="楷体"/>
          <w:color w:val="auto"/>
          <w:sz w:val="21"/>
          <w:szCs w:val="21"/>
          <w:highlight w:val="none"/>
        </w:rPr>
        <w:t>。</w:t>
      </w:r>
      <w:r>
        <w:rPr>
          <w:rFonts w:hint="eastAsia" w:ascii="楷体" w:hAnsi="楷体" w:eastAsia="楷体" w:cs="Times New Roman"/>
          <w:color w:val="auto"/>
          <w:sz w:val="21"/>
          <w:szCs w:val="21"/>
          <w:highlight w:val="none"/>
        </w:rPr>
        <w:t>托管人职责</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 w:val="21"/>
          <w:szCs w:val="21"/>
          <w:highlight w:val="none"/>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lang w:val="en-US" w:eastAsia="zh-CN"/>
        </w:rPr>
        <w:t>销售机构</w:t>
      </w:r>
    </w:p>
    <w:p>
      <w:pPr>
        <w:keepNext w:val="0"/>
        <w:keepLines w:val="0"/>
        <w:pageBreakBefore w:val="0"/>
        <w:numPr>
          <w:ilvl w:val="0"/>
          <w:numId w:val="0"/>
        </w:numPr>
        <w:tabs>
          <w:tab w:val="left" w:pos="1134"/>
        </w:tabs>
        <w:wordWrap/>
        <w:topLinePunct w:val="0"/>
        <w:autoSpaceDE/>
        <w:autoSpaceDN/>
        <w:bidi w:val="0"/>
        <w:ind w:left="0" w:leftChars="0"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val="0"/>
          <w:bCs w:val="0"/>
          <w:sz w:val="21"/>
          <w:szCs w:val="21"/>
          <w:highlight w:val="none"/>
          <w:u w:val="none"/>
        </w:rPr>
        <w:t>销售机构负责理财产品宣传推广、投资者风险承受能力评估和投资者适当性管理、理财产品</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身份识别及反洗钱、反恐怖融资及非居民金融账户涉税信息调查、理财产品份额认购/申购/赎回、协助管理人与投资者订立理财产品</w:t>
      </w:r>
      <w:r>
        <w:rPr>
          <w:rFonts w:hint="eastAsia" w:ascii="楷体" w:hAnsi="楷体" w:eastAsia="楷体"/>
          <w:color w:val="auto"/>
          <w:sz w:val="21"/>
          <w:szCs w:val="21"/>
          <w:highlight w:val="none"/>
          <w:lang w:val="en-US" w:eastAsia="zh-CN"/>
        </w:rPr>
        <w:t>销售文件</w:t>
      </w:r>
      <w:r>
        <w:rPr>
          <w:rFonts w:hint="eastAsia" w:ascii="楷体" w:hAnsi="楷体" w:eastAsia="楷体"/>
          <w:b w:val="0"/>
          <w:bCs w:val="0"/>
          <w:sz w:val="21"/>
          <w:szCs w:val="21"/>
          <w:highlight w:val="none"/>
          <w:u w:val="none"/>
        </w:rPr>
        <w:t>、协助投资者与管理人沟通、接受投资者咨询和</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维护等销售服务工作。销售机构不承担产品投资、兑付和风险管理责任，产品的投资、兑付和风险管理责任由管理人承担。</w:t>
      </w:r>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本产品各类份额销售机构如下：</w:t>
      </w:r>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A份额：江苏常熟农村商业银行股份有限公司/江苏紫金农村商业银行股份有限公司/江苏江南农村商业银行股份有限公司/无锡农村商业银行股份有限公司</w:t>
      </w:r>
      <w:bookmarkStart w:id="0" w:name="_GoBack"/>
      <w:bookmarkEnd w:id="0"/>
    </w:p>
    <w:p>
      <w:pPr>
        <w:keepNext w:val="0"/>
        <w:keepLines w:val="0"/>
        <w:pageBreakBefore w:val="0"/>
        <w:numPr>
          <w:ilvl w:val="0"/>
          <w:numId w:val="0"/>
        </w:numPr>
        <w:tabs>
          <w:tab w:val="left" w:pos="993"/>
        </w:tabs>
        <w:wordWrap/>
        <w:topLinePunct w:val="0"/>
        <w:autoSpaceDE/>
        <w:autoSpaceDN/>
        <w:bidi w:val="0"/>
        <w:ind w:left="0" w:leftChars="0" w:firstLine="420" w:firstLineChars="200"/>
        <w:textAlignment w:val="auto"/>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F份额：苏银理财有限责任公司</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名词释义</w:t>
      </w:r>
    </w:p>
    <w:p>
      <w:pPr>
        <w:keepNext w:val="0"/>
        <w:keepLines w:val="0"/>
        <w:pageBreakBefore w:val="0"/>
        <w:wordWrap/>
        <w:topLinePunct w:val="0"/>
        <w:autoSpaceDE/>
        <w:autoSpaceDN/>
        <w:bidi w:val="0"/>
        <w:ind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在本</w:t>
      </w:r>
      <w:r>
        <w:rPr>
          <w:rFonts w:hint="eastAsia" w:ascii="楷体" w:hAnsi="楷体" w:eastAsia="楷体"/>
          <w:color w:val="auto"/>
          <w:sz w:val="21"/>
          <w:szCs w:val="21"/>
          <w:highlight w:val="none"/>
          <w:lang w:val="en-US" w:eastAsia="zh-CN"/>
        </w:rPr>
        <w:t>理财</w:t>
      </w:r>
      <w:r>
        <w:rPr>
          <w:rFonts w:hint="eastAsia" w:ascii="楷体" w:hAnsi="楷体" w:eastAsia="楷体"/>
          <w:color w:val="auto"/>
          <w:sz w:val="21"/>
          <w:szCs w:val="21"/>
          <w:highlight w:val="none"/>
        </w:rPr>
        <w:t>产品说明书中，除非上下文另有明确约定，下列用词将具有如下含义：</w:t>
      </w:r>
    </w:p>
    <w:p>
      <w:pPr>
        <w:keepNext w:val="0"/>
        <w:keepLines w:val="0"/>
        <w:pageBreakBefore w:val="0"/>
        <w:widowControl w:val="0"/>
        <w:numPr>
          <w:ilvl w:val="0"/>
          <w:numId w:val="3"/>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理财产品用语</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销售代码：指本理财产品可能</w:t>
      </w:r>
      <w:r>
        <w:rPr>
          <w:rFonts w:hint="eastAsia" w:ascii="楷体" w:hAnsi="楷体" w:eastAsia="楷体" w:cs="Calibri"/>
          <w:color w:val="auto"/>
          <w:sz w:val="21"/>
          <w:szCs w:val="21"/>
          <w:highlight w:val="none"/>
          <w:lang w:val="en-US" w:eastAsia="zh-CN"/>
        </w:rPr>
        <w:t>设置一类或多类</w:t>
      </w:r>
      <w:r>
        <w:rPr>
          <w:rFonts w:hint="eastAsia" w:ascii="楷体" w:hAnsi="楷体" w:eastAsia="楷体" w:cs="Calibri"/>
          <w:color w:val="auto"/>
          <w:sz w:val="21"/>
          <w:szCs w:val="21"/>
          <w:highlight w:val="none"/>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理财产品份额：指投资者持有本理财产品的单位数额。</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rPr>
        <w:t>产品份额累计净值：指理财产品份额的单位净值与理财产品成立后历次累计单位收益分配的总和</w:t>
      </w:r>
      <w:r>
        <w:rPr>
          <w:rFonts w:hint="eastAsia" w:ascii="楷体" w:hAnsi="楷体" w:eastAsia="楷体" w:cs="Calibri"/>
          <w:sz w:val="21"/>
          <w:szCs w:val="21"/>
          <w:highlight w:val="none"/>
          <w:lang w:eastAsia="zh-CN"/>
        </w:rPr>
        <w:t>。</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lang w:val="en-US" w:eastAsia="zh-CN"/>
        </w:rPr>
        <w:t>流动性受限资产：</w:t>
      </w:r>
      <w:r>
        <w:rPr>
          <w:rFonts w:hint="eastAsia" w:ascii="楷体" w:hAnsi="楷体" w:eastAsia="楷体" w:cs="Calibri"/>
          <w:kern w:val="2"/>
          <w:sz w:val="21"/>
          <w:szCs w:val="21"/>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kern w:val="2"/>
          <w:sz w:val="21"/>
          <w:szCs w:val="21"/>
          <w:highlight w:val="none"/>
        </w:rPr>
        <w:t>7个工作日可变现资产</w:t>
      </w:r>
      <w:r>
        <w:rPr>
          <w:rFonts w:hint="eastAsia" w:ascii="楷体" w:hAnsi="楷体" w:eastAsia="楷体" w:cs="Calibri"/>
          <w:kern w:val="2"/>
          <w:sz w:val="21"/>
          <w:szCs w:val="21"/>
          <w:highlight w:val="none"/>
          <w:lang w:eastAsia="zh-CN"/>
        </w:rPr>
        <w:t>：</w:t>
      </w:r>
      <w:r>
        <w:rPr>
          <w:rFonts w:hint="eastAsia" w:ascii="楷体" w:hAnsi="楷体" w:eastAsia="楷体" w:cs="Calibri"/>
          <w:kern w:val="2"/>
          <w:sz w:val="21"/>
          <w:szCs w:val="21"/>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3"/>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期间与日期</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工作日：指国家法定工作日。</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交易日：</w:t>
      </w:r>
      <w:r>
        <w:rPr>
          <w:rFonts w:ascii="楷体" w:hAnsi="楷体" w:eastAsia="楷体" w:cs="Calibri"/>
          <w:color w:val="auto"/>
          <w:sz w:val="21"/>
          <w:szCs w:val="21"/>
          <w:highlight w:val="none"/>
        </w:rPr>
        <w:t>指上海证券交易所和深圳证券交易所的正常开盘交易日</w:t>
      </w:r>
      <w:r>
        <w:rPr>
          <w:rFonts w:hint="eastAsia" w:ascii="楷体" w:hAnsi="楷体" w:eastAsia="楷体" w:cs="Calibri"/>
          <w:color w:val="auto"/>
          <w:sz w:val="21"/>
          <w:szCs w:val="21"/>
          <w:highlight w:val="none"/>
        </w:rPr>
        <w:t>。</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份额登记日/份额确认日：指管理人对投资者提交的</w:t>
      </w:r>
      <w:r>
        <w:rPr>
          <w:rFonts w:hint="eastAsia" w:ascii="楷体" w:hAnsi="楷体" w:eastAsia="楷体" w:cs="Calibri"/>
          <w:color w:val="auto"/>
          <w:sz w:val="21"/>
          <w:szCs w:val="21"/>
          <w:highlight w:val="none"/>
          <w:lang w:val="en-US" w:eastAsia="zh-CN"/>
        </w:rPr>
        <w:t>购买</w:t>
      </w:r>
      <w:r>
        <w:rPr>
          <w:rFonts w:hint="eastAsia" w:ascii="楷体" w:hAnsi="楷体" w:eastAsia="楷体" w:cs="Calibri"/>
          <w:color w:val="auto"/>
          <w:sz w:val="21"/>
          <w:szCs w:val="21"/>
          <w:highlight w:val="none"/>
        </w:rPr>
        <w:t>申请进行份额登记的日期。</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产品存续期：指自理财产品成立日起，至理财产品终止日的期间。</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投资管理</w:t>
      </w:r>
    </w:p>
    <w:p>
      <w:pPr>
        <w:keepNext w:val="0"/>
        <w:keepLines w:val="0"/>
        <w:pageBreakBefore w:val="0"/>
        <w:widowControl w:val="0"/>
        <w:numPr>
          <w:ilvl w:val="0"/>
          <w:numId w:val="6"/>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投资范围和比例</w:t>
      </w:r>
    </w:p>
    <w:p>
      <w:pPr>
        <w:keepNext w:val="0"/>
        <w:keepLines w:val="0"/>
        <w:pageBreakBefore w:val="0"/>
        <w:wordWrap/>
        <w:topLinePunct w:val="0"/>
        <w:autoSpaceDE/>
        <w:autoSpaceDN/>
        <w:bidi w:val="0"/>
        <w:ind w:firstLine="420" w:firstLineChars="200"/>
        <w:textAlignment w:val="auto"/>
        <w:rPr>
          <w:rFonts w:hint="default" w:ascii="楷体" w:hAnsi="楷体" w:eastAsia="楷体"/>
          <w:sz w:val="21"/>
          <w:szCs w:val="21"/>
          <w:highlight w:val="none"/>
          <w:lang w:val="en-US" w:eastAsia="zh-CN"/>
        </w:rPr>
      </w:pPr>
      <w:r>
        <w:rPr>
          <w:rFonts w:hint="eastAsia" w:ascii="楷体" w:hAnsi="楷体" w:eastAsia="楷体"/>
          <w:sz w:val="21"/>
          <w:szCs w:val="21"/>
          <w:highlight w:val="none"/>
        </w:rPr>
        <w:t>本理财产品直接或间接投资于现金、银行存款、债券回购、中央银行票据、同业存单、拆借、货币市场基金、债券、在银行间市场和证券交易所市场发行的资产支持证券和监管机构允许投资的其他资产（如纳入权益类资产核算的永续债等，不含金融衍生品）。具体资产投资比例为：固定收益类资产占产品资产总值比例不低于80%，其他符合监管要求的资产占产品资产总值比例不高于20%</w:t>
      </w:r>
      <w:r>
        <w:rPr>
          <w:rFonts w:hint="eastAsia" w:ascii="楷体" w:hAnsi="楷体" w:eastAsia="楷体"/>
          <w:sz w:val="21"/>
          <w:szCs w:val="21"/>
          <w:highlight w:val="none"/>
          <w:lang w:val="en-US" w:eastAsia="zh-CN"/>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keepNext w:val="0"/>
        <w:keepLines w:val="0"/>
        <w:pageBreakBefore w:val="0"/>
        <w:widowControl w:val="0"/>
        <w:numPr>
          <w:ilvl w:val="0"/>
          <w:numId w:val="6"/>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投资策略</w:t>
      </w:r>
    </w:p>
    <w:p>
      <w:pPr>
        <w:keepNext w:val="0"/>
        <w:keepLines w:val="0"/>
        <w:pageBreakBefore w:val="0"/>
        <w:wordWrap/>
        <w:topLinePunct w:val="0"/>
        <w:autoSpaceDE/>
        <w:autoSpaceDN/>
        <w:bidi w:val="0"/>
        <w:ind w:firstLine="420" w:firstLineChars="200"/>
        <w:textAlignment w:val="auto"/>
        <w:rPr>
          <w:rFonts w:hint="default"/>
          <w:highlight w:val="none"/>
          <w:lang w:val="en-US"/>
        </w:rPr>
      </w:pPr>
      <w:r>
        <w:rPr>
          <w:rFonts w:hint="eastAsia" w:ascii="楷体" w:hAnsi="楷体" w:eastAsia="楷体"/>
          <w:sz w:val="21"/>
          <w:szCs w:val="21"/>
          <w:highlight w:val="none"/>
        </w:rPr>
        <w:t>本理财产品</w:t>
      </w:r>
      <w:r>
        <w:rPr>
          <w:rFonts w:hint="eastAsia" w:ascii="楷体" w:hAnsi="楷体" w:eastAsia="楷体"/>
          <w:sz w:val="21"/>
          <w:szCs w:val="21"/>
          <w:highlight w:val="none"/>
          <w:lang w:val="en-US" w:eastAsia="zh-CN"/>
        </w:rPr>
        <w:t>主要投资存款、银行存单、短期限债券等资产，通过杠杆、久期、骑乘策略增厚产品收益，产品在严格控制风险和保持较高流动性的前提下，力争为广大投资者创造稳健的投资回报。</w:t>
      </w:r>
    </w:p>
    <w:p>
      <w:pPr>
        <w:keepNext w:val="0"/>
        <w:keepLines w:val="0"/>
        <w:pageBreakBefore w:val="0"/>
        <w:widowControl w:val="0"/>
        <w:numPr>
          <w:ilvl w:val="0"/>
          <w:numId w:val="6"/>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投资合作机构</w:t>
      </w:r>
    </w:p>
    <w:p>
      <w:pPr>
        <w:keepNext w:val="0"/>
        <w:keepLines w:val="0"/>
        <w:pageBreakBefore w:val="0"/>
        <w:numPr>
          <w:ilvl w:val="0"/>
          <w:numId w:val="0"/>
        </w:numPr>
        <w:wordWrap/>
        <w:topLinePunct w:val="0"/>
        <w:autoSpaceDE/>
        <w:autoSpaceDN/>
        <w:bidi w:val="0"/>
        <w:ind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投资合作机构主要职责是对理财产品受托资金进行投资管理，</w:t>
      </w:r>
      <w:r>
        <w:rPr>
          <w:rFonts w:hint="eastAsia" w:ascii="楷体" w:hAnsi="楷体" w:eastAsia="楷体"/>
          <w:color w:val="auto"/>
          <w:sz w:val="21"/>
          <w:szCs w:val="21"/>
          <w:highlight w:val="none"/>
          <w:lang w:val="en-US" w:eastAsia="zh-CN"/>
        </w:rPr>
        <w:t>管理人</w:t>
      </w:r>
      <w:r>
        <w:rPr>
          <w:rFonts w:hint="eastAsia" w:ascii="楷体" w:hAnsi="楷体" w:eastAsia="楷体"/>
          <w:color w:val="auto"/>
          <w:sz w:val="21"/>
          <w:szCs w:val="21"/>
          <w:highlight w:val="none"/>
        </w:rPr>
        <w:t>已按投资决策流程对投资合作机构进行了准入，并持续开展投资合作机构的存续期管理。本产品投资合作机构包括：</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苏豪弘业期货股份有限公司：苏豪弘业期货股份有限公司成立于1995年，隶属于江苏省国资委全资拥有的国有企业江苏省苏豪控股集团有限公司。公司经营范围涵盖商品期货经纪、金融期货经纪、期货投资咨询、资产管理、基金销售业务。</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江苏省国际信托有限责任公司：江苏省国际信托有限责任公司是经江苏省人民政府和中国银行业监督管理委员会批准设立的非银行金融机构，是江苏省国信集团的主要成员企业之一，专业从事金融信托业务。</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创金合信基金管理有限公司：创金合信基金管理有限公司成立于2014年7月9日，由第一创业证券股份有限公司、深圳市金合信投资合伙企业（有限合伙）共同发起设立，注册地为深圳。</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中粮信托有限责任公司：中粮信托有限责任公司成立于2009年7月27日，是中国银行保险监督管理委员会核准的国有控股金融机构，注册资本28.3095亿元，前三大股东分别为中粮资本投资有限公司、蒙特利尔银行、中粮财务有限责任公司。</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永诚保险资产管理有限公司：永诚保险资产管理有限公司（简称“永诚资产”）是由永诚财产保险股份有限公司全资发起组建的保险资产管理公司，公司注册于浙江省宁波市，注册资本金为人民币3亿元。</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国投泰康信托有限公司：国投泰康信托有限公司成立于1986年6月，是由中国银保监会监管的非银行金融机构。国投泰康信托注册资本26.705亿元，股东为国投资本控股有限公司、泰康保险集团股份有限公司、悦达资本股份有限公司和泰康资产管理有限责任公司。</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安联保险资产管理有限公司：安联保险资产管理有限公司（简称安联资管或公司）于2021年7月27日获得中国银行保险监督管理委员会的开业批复，成为中国获批开业的外资独资保险资产管理公司，注册资本为五亿元人民币，注册地北京。</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华泰证券(上海)资产管理有限公司：华泰证券（上海）资产管理有限公司成立于2014年10月16日，系经中国证监会批准（证监许可【2014】679号），由华泰证券股份有限公司100%控股设立，注册资本26亿元。</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陆家嘴国际信托有限公司：陆家嘴国际信托有限公司（简称陆家嘴信托或公司）是上海陆家嘴金融发展有限公司控股的信托机构，注册资本为104亿元。公司注册地为青岛，在部分城市设立业务团队。</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新华资产管理股份有限公司：新华资产管理股份有限公司成立于2006年5月，是国内首批专业保险资产管理机构，前身为新华人寿保险股份有限公司投资管理中心，控股股东为新华人寿保险股份有限公司。2014年2月，经中国保险监督管理委员会批准，注册资本由1亿元增加至5亿元人民币。</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东方财富证券股份有限公司：东方财富证券股份有限公司，简称“东方财富证券”，是东方财富信息股份有限公司旗下的持牌证券公司，始终坚持用户第一，注重科技赋能、投研管理建设，旨在为客户提供全方位的财富管理服务。</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太平洋资产管理有限责任公司：太平洋资产管理有限责任公司（以下简称“太保资产”）于2006年6月经中国保监会批准成立，由中国太平洋保险（集团）股份有限公司控股，注册资本21亿元。</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中国人保资产管理有限公司：中国人保资产管理有限公司成立于2003年7月16日，是经国务院同意、原中国保监会批准设立的境内第一家保险资产管理公司，由中国人民保险集团股份有限公司发起。</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大家资产管理有限责任公司：大家资产管理有限责任公司，简称“大家资产”，公司2022年年末资产管理总规模10,337亿元，位居保险资管行业前10。大家资产是大家保险集团旗下专业资产管理公司。公司于2011年5月经原中国保险监督管理委员会批准正式设立，注册资本6亿元人民币。</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长城财富保险资产管理股份有限公司：长城财富保险资产管理股份有限公司（简称长城财富或公司）于2015年3月18日正式开业，是原中国保监会核准的第十九家保险资产管理公司，公司的主要股东为长城人寿保险股份有限公司、北京金融街投资（集团）有限公司等，注册资本为2亿元人民币，注册地深圳。</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英大保险资产管理有限公司：英大保险资产管理有限公司，简称“英大资产”，公司2022年年末资产管理总规模1,447亿元，位居保险资管行业前20。英大资产由英大人寿、英大财险和英大集团共同发起设立，于2015年4月3日开业，注册资本金为5.2亿元，注册地为北京市。</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泰康资产管理有限责任公司：泰康资产管理有限责任公司成立于2006年，注册资本10亿元，是泰康保险集团子公司。截至2021年12月31日，公司管理资产总规模超过27000亿元，其中受托管理的第三方资产总规模近17000亿元，另类投资管理规模超5000亿元，养老金管理规模超6400亿元。2022年，泰康资产在“欧洲养老金与投资IPE”发布的“2022全球资管500强”名单中排名全球第75位，中国第5位。</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华鑫证券有限责任公司：华鑫证券有限责任公司于2001年3月成立，注册资本36亿元。公司秉承“以人为本、客户至上、专业专注、创造价值”的核心价值观，以金融科技引领业务发展作为核心战略，致力于为客户提供交易、投融资、财富管理等高品质的服务和产品。</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光大永明资产管理股份有限公司：光大永明资产管理股份有限公司(以下简称“光大永明资产”)于2012年4月11日在北京正式开业,是原中国保监会核准的第十二家保险资产管理公司，目前注册资本金为5亿元人民币。</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华润深国投信托有限公司：华润信托于1982年8月24日成立，原名为深圳市信托投资公司，注册资本人民币5,813万元。目前，公司注册资本人民币110亿元，华润金控投资有限公司持有公司51%股权，深圳市投资控股有限公司持有公司49%股权。</w:t>
      </w:r>
    </w:p>
    <w:p>
      <w:pPr>
        <w:keepNext w:val="0"/>
        <w:keepLines w:val="0"/>
        <w:pageBreakBefore w:val="0"/>
        <w:wordWrap/>
        <w:topLinePunct w:val="0"/>
        <w:autoSpaceDE/>
        <w:autoSpaceDN/>
        <w:bidi w:val="0"/>
        <w:ind w:firstLine="420" w:firstLineChars="200"/>
        <w:textAlignment w:val="auto"/>
        <w:rPr>
          <w:rFonts w:hint="eastAsia"/>
          <w:highlight w:val="none"/>
        </w:rPr>
      </w:pPr>
      <w:r>
        <w:rPr>
          <w:rFonts w:hint="eastAsia" w:ascii="楷体" w:hAnsi="楷体" w:eastAsia="楷体"/>
          <w:sz w:val="21"/>
          <w:szCs w:val="21"/>
          <w:highlight w:val="none"/>
        </w:rPr>
        <w:t>产品存续期内合作机构如有变化，管理人将按照监管规定和内部管理制度要求对合作机构进行准入，签署相关协议后，</w:t>
      </w:r>
      <w:r>
        <w:rPr>
          <w:rFonts w:hint="eastAsia" w:ascii="楷体" w:hAnsi="楷体" w:eastAsia="楷体"/>
          <w:sz w:val="21"/>
          <w:szCs w:val="21"/>
          <w:highlight w:val="none"/>
          <w:lang w:val="en-US" w:eastAsia="zh-CN"/>
        </w:rPr>
        <w:t>披露</w:t>
      </w:r>
      <w:r>
        <w:rPr>
          <w:rFonts w:hint="eastAsia" w:ascii="楷体" w:hAnsi="楷体" w:eastAsia="楷体"/>
          <w:sz w:val="21"/>
          <w:szCs w:val="21"/>
          <w:highlight w:val="none"/>
        </w:rPr>
        <w:t>新增</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投资合作机构。</w:t>
      </w:r>
    </w:p>
    <w:p>
      <w:pPr>
        <w:keepNext w:val="0"/>
        <w:keepLines w:val="0"/>
        <w:pageBreakBefore w:val="0"/>
        <w:widowControl w:val="0"/>
        <w:numPr>
          <w:ilvl w:val="0"/>
          <w:numId w:val="6"/>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投资限制</w:t>
      </w:r>
    </w:p>
    <w:p>
      <w:pPr>
        <w:keepNext w:val="0"/>
        <w:keepLines w:val="0"/>
        <w:pageBreakBefore w:val="0"/>
        <w:widowControl w:val="0"/>
        <w:numPr>
          <w:ilvl w:val="0"/>
          <w:numId w:val="8"/>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本理财产品投资于单只证券或单只公募证券投资基金的市值不超过本产品净资产的10%。</w:t>
      </w:r>
    </w:p>
    <w:p>
      <w:pPr>
        <w:keepNext w:val="0"/>
        <w:keepLines w:val="0"/>
        <w:pageBreakBefore w:val="0"/>
        <w:widowControl w:val="0"/>
        <w:numPr>
          <w:ilvl w:val="0"/>
          <w:numId w:val="8"/>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管理人发行的全部公募理财产品投资单只证券或者单只公募证券投资基金的市值不得超过该证券市值或者公募证券投资基金市值的30%。其中，管理人全部开放式公募理财产品投资单一上市公司发行的股票不得超过该上市公司可流通股票的15%。</w:t>
      </w:r>
    </w:p>
    <w:p>
      <w:pPr>
        <w:keepNext w:val="0"/>
        <w:keepLines w:val="0"/>
        <w:pageBreakBefore w:val="0"/>
        <w:widowControl w:val="0"/>
        <w:numPr>
          <w:ilvl w:val="0"/>
          <w:numId w:val="8"/>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管理人全部产品持有单一上市公司发行的股票，不得超过该上市公司可流通股票的30%。</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highlight w:val="none"/>
        </w:rPr>
      </w:pPr>
      <w:r>
        <w:rPr>
          <w:rFonts w:hint="eastAsia" w:ascii="楷体" w:hAnsi="楷体" w:eastAsia="楷体"/>
          <w:color w:val="auto"/>
          <w:sz w:val="21"/>
          <w:szCs w:val="21"/>
          <w:highlight w:val="none"/>
        </w:rPr>
        <w:t>针对上述第1、2</w:t>
      </w:r>
      <w:r>
        <w:rPr>
          <w:rFonts w:hint="eastAsia" w:ascii="楷体" w:hAnsi="楷体" w:eastAsia="楷体"/>
          <w:color w:val="auto"/>
          <w:sz w:val="21"/>
          <w:szCs w:val="21"/>
          <w:highlight w:val="none"/>
          <w:lang w:eastAsia="zh-CN"/>
        </w:rPr>
        <w:t>、</w:t>
      </w:r>
      <w:r>
        <w:rPr>
          <w:rFonts w:hint="eastAsia" w:ascii="楷体" w:hAnsi="楷体" w:eastAsia="楷体"/>
          <w:color w:val="auto"/>
          <w:sz w:val="21"/>
          <w:szCs w:val="21"/>
          <w:highlight w:val="none"/>
        </w:rPr>
        <w:t>3项，非因管理人主观因素致使不符合前述比例限制的，管理人将在流动性受限资产可出售、可转让或者恢复交易的10个交易日内调整至符合相关要求。</w:t>
      </w:r>
    </w:p>
    <w:p>
      <w:pPr>
        <w:keepNext w:val="0"/>
        <w:keepLines w:val="0"/>
        <w:pageBreakBefore w:val="0"/>
        <w:widowControl w:val="0"/>
        <w:numPr>
          <w:ilvl w:val="0"/>
          <w:numId w:val="8"/>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w:t>
      </w:r>
      <w:r>
        <w:rPr>
          <w:rFonts w:hint="eastAsia" w:ascii="楷体" w:hAnsi="楷体" w:eastAsia="楷体"/>
          <w:color w:val="auto"/>
          <w:sz w:val="21"/>
          <w:szCs w:val="21"/>
          <w:highlight w:val="none"/>
          <w:lang w:val="en-US" w:eastAsia="zh-CN"/>
        </w:rPr>
        <w:t>杠杆率</w:t>
      </w:r>
      <w:r>
        <w:rPr>
          <w:rFonts w:hint="eastAsia" w:ascii="楷体" w:hAnsi="楷体" w:eastAsia="楷体"/>
          <w:color w:val="auto"/>
          <w:sz w:val="21"/>
          <w:szCs w:val="21"/>
          <w:highlight w:val="none"/>
        </w:rPr>
        <w:t>不超过140%。</w:t>
      </w:r>
    </w:p>
    <w:p>
      <w:pPr>
        <w:keepNext w:val="0"/>
        <w:keepLines w:val="0"/>
        <w:pageBreakBefore w:val="0"/>
        <w:widowControl w:val="0"/>
        <w:numPr>
          <w:ilvl w:val="0"/>
          <w:numId w:val="8"/>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本理财产品在开放日及开放日前7个工作日内持有不低于产品资产净值5%的现金或者到期日在一年以内的国债、中央银行票据和政策性金融债券。</w:t>
      </w:r>
    </w:p>
    <w:p>
      <w:pPr>
        <w:keepNext w:val="0"/>
        <w:keepLines w:val="0"/>
        <w:pageBreakBefore w:val="0"/>
        <w:widowControl w:val="0"/>
        <w:numPr>
          <w:ilvl w:val="0"/>
          <w:numId w:val="8"/>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本理财产品直接投资于流动性受限资产的市值在开放日不得超过本产品净资产的15%。因证券市场波动、理财产品规模变动等因素导致不符合前述比例限制的，本理财产品不得主动新增投资流动性受限资产。</w:t>
      </w:r>
    </w:p>
    <w:p>
      <w:pPr>
        <w:keepNext w:val="0"/>
        <w:keepLines w:val="0"/>
        <w:pageBreakBefore w:val="0"/>
        <w:widowControl w:val="0"/>
        <w:numPr>
          <w:ilvl w:val="0"/>
          <w:numId w:val="8"/>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highlight w:val="none"/>
        </w:rPr>
      </w:pPr>
      <w:r>
        <w:rPr>
          <w:rFonts w:hint="eastAsia" w:ascii="楷体" w:hAnsi="楷体" w:eastAsia="楷体" w:cs="楷体"/>
          <w:color w:val="auto"/>
          <w:sz w:val="21"/>
          <w:szCs w:val="21"/>
          <w:highlight w:val="none"/>
        </w:rPr>
        <w:t>在开放日前一工作日内，本理财产品7个工作日可变现资产的可变现价值应当不低于本产品净资产的10%。</w:t>
      </w:r>
    </w:p>
    <w:p>
      <w:pPr>
        <w:keepNext w:val="0"/>
        <w:keepLines w:val="0"/>
        <w:pageBreakBefore w:val="0"/>
        <w:widowControl w:val="0"/>
        <w:numPr>
          <w:ilvl w:val="0"/>
          <w:numId w:val="8"/>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本理财产品投资不存在活跃交易市场并且需要采用估值技术确定公允价值的资产比例不得达到或超过本产品净资产的50%。非因管理人主观因素导致突破前款规定比例限制的,本理财产品不得新增投资上述资产。</w:t>
      </w:r>
    </w:p>
    <w:p>
      <w:pPr>
        <w:keepNext w:val="0"/>
        <w:keepLines w:val="0"/>
        <w:pageBreakBefore w:val="0"/>
        <w:widowControl w:val="0"/>
        <w:numPr>
          <w:ilvl w:val="0"/>
          <w:numId w:val="6"/>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投资管理调整</w:t>
      </w:r>
    </w:p>
    <w:p>
      <w:pPr>
        <w:pStyle w:val="2"/>
        <w:keepNext w:val="0"/>
        <w:keepLines w:val="0"/>
        <w:pageBreakBefore w:val="0"/>
        <w:widowControl w:val="0"/>
        <w:kinsoku/>
        <w:wordWrap/>
        <w:overflowPunct/>
        <w:topLinePunct w:val="0"/>
        <w:autoSpaceDE/>
        <w:autoSpaceDN/>
        <w:bidi w:val="0"/>
        <w:adjustRightInd w:val="0"/>
        <w:snapToGrid/>
        <w:spacing w:before="0"/>
        <w:ind w:left="0" w:firstLine="420" w:firstLineChars="200"/>
        <w:jc w:val="both"/>
        <w:textAlignment w:val="auto"/>
        <w:rPr>
          <w:rFonts w:hint="eastAsia" w:ascii="楷体" w:hAnsi="楷体" w:eastAsia="楷体" w:cs="Times New Roman"/>
          <w:color w:val="auto"/>
          <w:kern w:val="2"/>
          <w:sz w:val="21"/>
          <w:szCs w:val="21"/>
          <w:highlight w:val="none"/>
          <w:lang w:val="en-US" w:eastAsia="zh-CN" w:bidi="ar-SA"/>
        </w:rPr>
      </w:pPr>
      <w:r>
        <w:rPr>
          <w:rFonts w:hint="eastAsia" w:ascii="楷体" w:hAnsi="楷体" w:eastAsia="楷体" w:cs="Times New Roman"/>
          <w:color w:val="auto"/>
          <w:kern w:val="2"/>
          <w:sz w:val="21"/>
          <w:szCs w:val="21"/>
          <w:highlight w:val="none"/>
          <w:lang w:val="en-US" w:eastAsia="zh-CN" w:bidi="ar-SA"/>
        </w:rPr>
        <w:t>若法律法规、国家监管政策或市场情况发生变化，管理人在不改变产品类型的情况下，可对本说明书中已约定的投资范围、投资品种、投资比例等事项进行调整，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keepNext w:val="0"/>
        <w:keepLines w:val="0"/>
        <w:pageBreakBefore w:val="0"/>
        <w:wordWrap/>
        <w:topLinePunct w:val="0"/>
        <w:autoSpaceDE/>
        <w:autoSpaceDN/>
        <w:bidi w:val="0"/>
        <w:ind w:firstLine="420" w:firstLineChars="200"/>
        <w:textAlignment w:val="auto"/>
        <w:rPr>
          <w:rFonts w:hint="eastAsia"/>
          <w:highlight w:val="none"/>
          <w:lang w:val="en-US" w:eastAsia="zh-CN"/>
        </w:rPr>
      </w:pPr>
      <w:r>
        <w:rPr>
          <w:rFonts w:hint="eastAsia" w:ascii="楷体" w:hAnsi="楷体" w:eastAsia="楷体" w:cs="楷体"/>
          <w:color w:val="auto"/>
          <w:sz w:val="21"/>
          <w:szCs w:val="21"/>
          <w:highlight w:val="none"/>
        </w:rPr>
        <w:t>如监管有最新规定的，可参照监管规定</w:t>
      </w:r>
      <w:r>
        <w:rPr>
          <w:rFonts w:hint="eastAsia" w:ascii="楷体" w:hAnsi="楷体" w:eastAsia="楷体" w:cs="楷体"/>
          <w:color w:val="auto"/>
          <w:sz w:val="21"/>
          <w:szCs w:val="21"/>
          <w:highlight w:val="none"/>
          <w:lang w:val="en-US" w:eastAsia="zh-CN"/>
        </w:rPr>
        <w:t>执行</w:t>
      </w:r>
      <w:r>
        <w:rPr>
          <w:rFonts w:hint="eastAsia" w:ascii="楷体" w:hAnsi="楷体" w:eastAsia="楷体" w:cs="楷体"/>
          <w:color w:val="auto"/>
          <w:sz w:val="21"/>
          <w:szCs w:val="21"/>
          <w:highlight w:val="none"/>
        </w:rPr>
        <w:t>。</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产品认购</w:t>
      </w:r>
    </w:p>
    <w:p>
      <w:pPr>
        <w:keepNext w:val="0"/>
        <w:keepLines w:val="0"/>
        <w:pageBreakBefore w:val="0"/>
        <w:widowControl w:val="0"/>
        <w:numPr>
          <w:ilvl w:val="0"/>
          <w:numId w:val="9"/>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认购方式</w:t>
      </w:r>
      <w:r>
        <w:rPr>
          <w:rFonts w:hint="eastAsia" w:ascii="楷体" w:hAnsi="楷体" w:eastAsia="楷体" w:cs="Calibri"/>
          <w:b w:val="0"/>
          <w:bCs w:val="0"/>
          <w:color w:val="auto"/>
          <w:sz w:val="21"/>
          <w:szCs w:val="21"/>
          <w:highlight w:val="none"/>
          <w:lang w:val="en-US" w:eastAsia="zh-CN"/>
        </w:rPr>
        <w:t>及确认</w:t>
      </w:r>
    </w:p>
    <w:p>
      <w:pPr>
        <w:keepNext w:val="0"/>
        <w:keepLines w:val="0"/>
        <w:pageBreakBefore w:val="0"/>
        <w:numPr>
          <w:ilvl w:val="0"/>
          <w:numId w:val="0"/>
        </w:numPr>
        <w:wordWrap/>
        <w:topLinePunct w:val="0"/>
        <w:autoSpaceDE/>
        <w:autoSpaceDN/>
        <w:bidi w:val="0"/>
        <w:ind w:left="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本理财产品可在各销售机构指定渠道进行认购</w:t>
      </w:r>
      <w:r>
        <w:rPr>
          <w:rFonts w:hint="eastAsia" w:ascii="楷体" w:hAnsi="楷体" w:eastAsia="楷体" w:cs="Calibri"/>
          <w:sz w:val="21"/>
          <w:szCs w:val="21"/>
          <w:highlight w:val="none"/>
          <w:lang w:val="en-US" w:eastAsia="zh-CN"/>
        </w:rPr>
        <w:t>，投资者按规定提交认购申请，管理人在份额登记日对投资者的认购申请成功登记后并收到投资者全额交付的款项，视为投资者的认购申请生效。投资者应在理财产品成立后及时查询最终的成交情况。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 w:val="21"/>
          <w:szCs w:val="21"/>
          <w:highlight w:val="none"/>
        </w:rPr>
        <w:t>因投资者资金账户余额不足、司法冻结、不可抗力因素或其他不可归责于</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和销售机构的事由出现，造成认购申请未被确认的，</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和销售机构不承担任何责任。</w:t>
      </w:r>
    </w:p>
    <w:p>
      <w:pPr>
        <w:keepNext w:val="0"/>
        <w:keepLines w:val="0"/>
        <w:pageBreakBefore w:val="0"/>
        <w:widowControl w:val="0"/>
        <w:numPr>
          <w:ilvl w:val="0"/>
          <w:numId w:val="9"/>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认购份额的计算</w:t>
      </w:r>
    </w:p>
    <w:p>
      <w:pPr>
        <w:keepNext w:val="0"/>
        <w:keepLines w:val="0"/>
        <w:pageBreakBefore w:val="0"/>
        <w:wordWrap/>
        <w:topLinePunct w:val="0"/>
        <w:autoSpaceDE/>
        <w:autoSpaceDN/>
        <w:bidi w:val="0"/>
        <w:ind w:firstLine="420" w:firstLineChars="200"/>
        <w:textAlignment w:val="auto"/>
        <w:rPr>
          <w:rFonts w:hint="eastAsia"/>
          <w:highlight w:val="none"/>
        </w:rPr>
      </w:pPr>
      <w:r>
        <w:rPr>
          <w:rFonts w:ascii="楷体" w:hAnsi="楷体" w:eastAsia="楷体"/>
          <w:color w:val="auto"/>
          <w:sz w:val="21"/>
          <w:szCs w:val="21"/>
          <w:highlight w:val="none"/>
        </w:rPr>
        <w:t>认购份额=</w:t>
      </w:r>
      <w:r>
        <w:rPr>
          <w:rFonts w:hint="eastAsia" w:ascii="楷体" w:hAnsi="楷体" w:eastAsia="楷体"/>
          <w:color w:val="auto"/>
          <w:sz w:val="21"/>
          <w:szCs w:val="21"/>
          <w:highlight w:val="none"/>
        </w:rPr>
        <w:t>认购金额</w:t>
      </w:r>
      <w:r>
        <w:rPr>
          <w:rFonts w:ascii="楷体" w:hAnsi="楷体" w:eastAsia="楷体"/>
          <w:color w:val="auto"/>
          <w:sz w:val="21"/>
          <w:szCs w:val="21"/>
          <w:highlight w:val="none"/>
        </w:rPr>
        <w:t>/</w:t>
      </w:r>
      <w:r>
        <w:rPr>
          <w:rFonts w:hint="eastAsia" w:ascii="楷体" w:hAnsi="楷体" w:eastAsia="楷体"/>
          <w:color w:val="auto"/>
          <w:sz w:val="21"/>
          <w:szCs w:val="21"/>
          <w:highlight w:val="none"/>
        </w:rPr>
        <w:t>产品</w:t>
      </w:r>
      <w:r>
        <w:rPr>
          <w:rFonts w:hint="eastAsia" w:ascii="楷体" w:hAnsi="楷体" w:eastAsia="楷体"/>
          <w:color w:val="auto"/>
          <w:sz w:val="21"/>
          <w:szCs w:val="21"/>
          <w:highlight w:val="none"/>
          <w:lang w:val="en-US" w:eastAsia="zh-CN"/>
        </w:rPr>
        <w:t>份额面值，</w:t>
      </w:r>
      <w:r>
        <w:rPr>
          <w:rFonts w:ascii="楷体" w:hAnsi="楷体" w:eastAsia="楷体"/>
          <w:color w:val="auto"/>
          <w:sz w:val="21"/>
          <w:szCs w:val="21"/>
          <w:highlight w:val="none"/>
        </w:rPr>
        <w:t>认购份额</w:t>
      </w:r>
      <w:r>
        <w:rPr>
          <w:rFonts w:hint="eastAsia" w:ascii="楷体" w:hAnsi="楷体" w:eastAsia="楷体"/>
          <w:color w:val="auto"/>
          <w:sz w:val="21"/>
          <w:szCs w:val="21"/>
          <w:highlight w:val="none"/>
        </w:rPr>
        <w:t>以四舍五入的方法保留到小数点后两位。</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产品申购、赎回</w:t>
      </w:r>
    </w:p>
    <w:p>
      <w:pPr>
        <w:keepNext w:val="0"/>
        <w:keepLines w:val="0"/>
        <w:pageBreakBefore w:val="0"/>
        <w:widowControl w:val="0"/>
        <w:numPr>
          <w:ilvl w:val="0"/>
          <w:numId w:val="10"/>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开放计划</w:t>
      </w:r>
    </w:p>
    <w:p>
      <w:pPr>
        <w:keepNext w:val="0"/>
        <w:keepLines w:val="0"/>
        <w:pageBreakBefore w:val="0"/>
        <w:numPr>
          <w:ilvl w:val="0"/>
          <w:numId w:val="0"/>
        </w:numPr>
        <w:tabs>
          <w:tab w:val="left" w:pos="728"/>
        </w:tabs>
        <w:wordWrap/>
        <w:topLinePunct w:val="0"/>
        <w:autoSpaceDE/>
        <w:autoSpaceDN/>
        <w:bidi w:val="0"/>
        <w:ind w:left="0" w:leftChars="0" w:firstLine="420" w:firstLineChars="200"/>
        <w:textAlignment w:val="auto"/>
        <w:rPr>
          <w:rFonts w:hint="eastAsia" w:ascii="楷体" w:hAnsi="楷体" w:eastAsia="楷体" w:cs="Calibri"/>
          <w:b w:val="0"/>
          <w:bCs/>
          <w:sz w:val="21"/>
          <w:szCs w:val="21"/>
          <w:highlight w:val="none"/>
        </w:rPr>
      </w:pPr>
      <w:r>
        <w:rPr>
          <w:rFonts w:hint="eastAsia" w:ascii="楷体" w:hAnsi="楷体" w:eastAsia="楷体" w:cs="Calibri"/>
          <w:b w:val="0"/>
          <w:bCs/>
          <w:sz w:val="21"/>
          <w:szCs w:val="21"/>
          <w:highlight w:val="none"/>
        </w:rPr>
        <w:t>本产品</w:t>
      </w:r>
      <w:r>
        <w:rPr>
          <w:rFonts w:hint="eastAsia" w:ascii="楷体" w:hAnsi="楷体" w:eastAsia="楷体" w:cs="Calibri"/>
          <w:b w:val="0"/>
          <w:bCs/>
          <w:sz w:val="21"/>
          <w:szCs w:val="21"/>
          <w:highlight w:val="none"/>
          <w:lang w:val="en-US" w:eastAsia="zh-CN"/>
        </w:rPr>
        <w:t>封闭运作</w:t>
      </w:r>
      <w:r>
        <w:rPr>
          <w:rFonts w:hint="eastAsia" w:ascii="楷体" w:hAnsi="楷体" w:eastAsia="楷体" w:cs="Calibri"/>
          <w:b w:val="0"/>
          <w:bCs/>
          <w:sz w:val="21"/>
          <w:szCs w:val="21"/>
          <w:highlight w:val="none"/>
        </w:rPr>
        <w:t>期结束后</w:t>
      </w:r>
      <w:r>
        <w:rPr>
          <w:rFonts w:hint="eastAsia" w:ascii="楷体" w:hAnsi="楷体" w:eastAsia="楷体" w:cs="Calibri"/>
          <w:b w:val="0"/>
          <w:bCs/>
          <w:sz w:val="21"/>
          <w:szCs w:val="21"/>
          <w:highlight w:val="none"/>
          <w:lang w:val="en-US" w:eastAsia="zh-CN"/>
        </w:rPr>
        <w:t>，按开放日接受投资者的申购/赎回申请，每个交易日为产品开放日（T日），其中投资者赎回份额需满足最短持有时间。开放日闭市前的申购/赎回申请当日受理</w:t>
      </w:r>
      <w:r>
        <w:rPr>
          <w:rFonts w:hint="eastAsia" w:ascii="楷体" w:hAnsi="楷体" w:eastAsia="楷体" w:cs="Calibri"/>
          <w:b w:val="0"/>
          <w:bCs/>
          <w:sz w:val="21"/>
          <w:szCs w:val="21"/>
          <w:highlight w:val="none"/>
          <w:lang w:eastAsia="zh-CN"/>
        </w:rPr>
        <w:t>，</w:t>
      </w:r>
      <w:r>
        <w:rPr>
          <w:rFonts w:hint="eastAsia" w:ascii="楷体" w:hAnsi="楷体" w:eastAsia="楷体" w:cs="Calibri"/>
          <w:b w:val="0"/>
          <w:bCs/>
          <w:sz w:val="21"/>
          <w:szCs w:val="21"/>
          <w:highlight w:val="none"/>
          <w:lang w:val="en-US" w:eastAsia="zh-CN"/>
        </w:rPr>
        <w:t>闭市后的申购/赎回申请</w:t>
      </w:r>
      <w:r>
        <w:rPr>
          <w:rFonts w:hint="eastAsia" w:ascii="楷体" w:hAnsi="楷体" w:eastAsia="楷体" w:cs="Calibri"/>
          <w:b w:val="0"/>
          <w:bCs/>
          <w:sz w:val="21"/>
          <w:szCs w:val="21"/>
          <w:highlight w:val="none"/>
        </w:rPr>
        <w:t>为预受理，视同下一</w:t>
      </w:r>
      <w:r>
        <w:rPr>
          <w:rFonts w:hint="eastAsia" w:ascii="楷体" w:hAnsi="楷体" w:eastAsia="楷体" w:cs="Calibri"/>
          <w:b w:val="0"/>
          <w:bCs/>
          <w:sz w:val="21"/>
          <w:szCs w:val="21"/>
          <w:highlight w:val="none"/>
          <w:lang w:val="en-US" w:eastAsia="zh-CN"/>
        </w:rPr>
        <w:t>开放</w:t>
      </w:r>
      <w:r>
        <w:rPr>
          <w:rFonts w:hint="eastAsia" w:ascii="楷体" w:hAnsi="楷体" w:eastAsia="楷体" w:cs="Calibri"/>
          <w:b w:val="0"/>
          <w:bCs/>
          <w:sz w:val="21"/>
          <w:szCs w:val="21"/>
          <w:highlight w:val="none"/>
        </w:rPr>
        <w:t>日</w:t>
      </w:r>
      <w:r>
        <w:rPr>
          <w:rFonts w:hint="eastAsia" w:ascii="楷体" w:hAnsi="楷体" w:eastAsia="楷体" w:cs="Calibri"/>
          <w:b w:val="0"/>
          <w:bCs/>
          <w:sz w:val="21"/>
          <w:szCs w:val="21"/>
          <w:highlight w:val="none"/>
          <w:lang w:val="en-US" w:eastAsia="zh-CN"/>
        </w:rPr>
        <w:t>申请。投资者</w:t>
      </w:r>
      <w:r>
        <w:rPr>
          <w:rFonts w:hint="eastAsia" w:ascii="楷体" w:hAnsi="楷体" w:eastAsia="楷体" w:cs="Calibri"/>
          <w:b w:val="0"/>
          <w:bCs/>
          <w:sz w:val="21"/>
          <w:szCs w:val="21"/>
          <w:highlight w:val="none"/>
        </w:rPr>
        <w:t>提交的申购/赎回申请可以在产品开放日</w:t>
      </w:r>
      <w:r>
        <w:rPr>
          <w:rFonts w:hint="eastAsia" w:ascii="楷体" w:hAnsi="楷体" w:eastAsia="楷体" w:cs="Calibri"/>
          <w:b w:val="0"/>
          <w:bCs/>
          <w:sz w:val="21"/>
          <w:szCs w:val="21"/>
          <w:highlight w:val="none"/>
          <w:lang w:val="en-US" w:eastAsia="zh-CN"/>
        </w:rPr>
        <w:t>闭市</w:t>
      </w:r>
      <w:r>
        <w:rPr>
          <w:rFonts w:hint="eastAsia" w:ascii="楷体" w:hAnsi="楷体" w:eastAsia="楷体" w:cs="Calibri"/>
          <w:b w:val="0"/>
          <w:bCs/>
          <w:sz w:val="21"/>
          <w:szCs w:val="21"/>
          <w:highlight w:val="none"/>
        </w:rPr>
        <w:t>前撤销，之后不得撤销。（</w:t>
      </w:r>
      <w:r>
        <w:rPr>
          <w:rFonts w:hint="eastAsia" w:ascii="楷体" w:hAnsi="楷体" w:eastAsia="楷体" w:cs="Calibri"/>
          <w:b w:val="0"/>
          <w:bCs/>
          <w:sz w:val="21"/>
          <w:szCs w:val="21"/>
          <w:highlight w:val="none"/>
          <w:lang w:val="en-US" w:eastAsia="zh-CN"/>
        </w:rPr>
        <w:t>开放日闭市时间为17:00，具体</w:t>
      </w:r>
      <w:r>
        <w:rPr>
          <w:rFonts w:hint="eastAsia" w:ascii="楷体" w:hAnsi="楷体" w:eastAsia="楷体" w:cs="Calibri"/>
          <w:b w:val="0"/>
          <w:bCs/>
          <w:sz w:val="21"/>
          <w:szCs w:val="21"/>
          <w:highlight w:val="none"/>
        </w:rPr>
        <w:t>以各销售机构设置为准）</w:t>
      </w:r>
    </w:p>
    <w:p>
      <w:pPr>
        <w:keepNext w:val="0"/>
        <w:keepLines w:val="0"/>
        <w:pageBreakBefore w:val="0"/>
        <w:widowControl w:val="0"/>
        <w:numPr>
          <w:ilvl w:val="0"/>
          <w:numId w:val="10"/>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申购、赎回的规则</w:t>
      </w:r>
    </w:p>
    <w:p>
      <w:pPr>
        <w:keepNext w:val="0"/>
        <w:keepLines w:val="0"/>
        <w:pageBreakBefore w:val="0"/>
        <w:widowControl w:val="0"/>
        <w:numPr>
          <w:ilvl w:val="0"/>
          <w:numId w:val="11"/>
        </w:numPr>
        <w:tabs>
          <w:tab w:val="left" w:pos="728"/>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highlight w:val="none"/>
        </w:rPr>
      </w:pPr>
      <w:r>
        <w:rPr>
          <w:rFonts w:hint="eastAsia" w:ascii="楷体" w:hAnsi="楷体" w:eastAsia="楷体" w:cs="Calibri"/>
          <w:b w:val="0"/>
          <w:bCs/>
          <w:sz w:val="21"/>
          <w:szCs w:val="21"/>
          <w:highlight w:val="none"/>
        </w:rPr>
        <w:t>申购、赎回的原则：投资者必须在产品开放计划内提出申购、赎回申请</w:t>
      </w:r>
      <w:r>
        <w:rPr>
          <w:rFonts w:hint="eastAsia" w:ascii="楷体" w:hAnsi="楷体" w:eastAsia="楷体" w:cs="Calibri"/>
          <w:b w:val="0"/>
          <w:bCs/>
          <w:sz w:val="21"/>
          <w:szCs w:val="21"/>
          <w:highlight w:val="none"/>
          <w:lang w:eastAsia="zh-CN"/>
        </w:rPr>
        <w:t>，</w:t>
      </w:r>
      <w:r>
        <w:rPr>
          <w:rFonts w:hint="eastAsia" w:ascii="楷体" w:hAnsi="楷体" w:eastAsia="楷体" w:cs="Calibri"/>
          <w:b w:val="0"/>
          <w:bCs/>
          <w:sz w:val="21"/>
          <w:szCs w:val="21"/>
          <w:highlight w:val="none"/>
        </w:rPr>
        <w:t>采用金额申购、份额赎回的原则，即申购以金额申请，赎回以份额申请。投资者提出申购申请时，须备足购买资金</w:t>
      </w:r>
      <w:r>
        <w:rPr>
          <w:rFonts w:hint="eastAsia" w:ascii="楷体" w:hAnsi="楷体" w:eastAsia="楷体" w:cs="Calibri"/>
          <w:b w:val="0"/>
          <w:bCs/>
          <w:sz w:val="21"/>
          <w:szCs w:val="21"/>
          <w:highlight w:val="none"/>
          <w:lang w:val="en-US" w:eastAsia="zh-CN"/>
        </w:rPr>
        <w:t>；</w:t>
      </w:r>
      <w:r>
        <w:rPr>
          <w:rFonts w:hint="eastAsia" w:ascii="楷体" w:hAnsi="楷体" w:eastAsia="楷体" w:cs="Calibri"/>
          <w:b w:val="0"/>
          <w:bCs/>
          <w:sz w:val="21"/>
          <w:szCs w:val="21"/>
          <w:highlight w:val="none"/>
        </w:rPr>
        <w:t>投资者提出赎回申请时，须有足够的理财产品份额余额。</w:t>
      </w:r>
    </w:p>
    <w:p>
      <w:pPr>
        <w:keepNext w:val="0"/>
        <w:keepLines w:val="0"/>
        <w:pageBreakBefore w:val="0"/>
        <w:widowControl w:val="0"/>
        <w:numPr>
          <w:ilvl w:val="0"/>
          <w:numId w:val="11"/>
        </w:numPr>
        <w:tabs>
          <w:tab w:val="left" w:pos="728"/>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highlight w:val="none"/>
        </w:rPr>
      </w:pPr>
      <w:r>
        <w:rPr>
          <w:rFonts w:hint="eastAsia" w:ascii="楷体" w:hAnsi="楷体" w:eastAsia="楷体" w:cs="Calibri"/>
          <w:b w:val="0"/>
          <w:bCs/>
          <w:sz w:val="21"/>
          <w:szCs w:val="21"/>
          <w:highlight w:val="none"/>
        </w:rPr>
        <w:t>申购、赎回的确认：投资者申购/赎回本产品时采用“未知价”原则，投资者在开放计划内通过销售机构提出的申购/赎回申请，管理人于</w:t>
      </w:r>
      <w:r>
        <w:rPr>
          <w:rFonts w:hint="eastAsia" w:ascii="楷体" w:hAnsi="楷体" w:eastAsia="楷体" w:cs="Calibri"/>
          <w:b w:val="0"/>
          <w:bCs/>
          <w:sz w:val="21"/>
          <w:szCs w:val="21"/>
          <w:highlight w:val="none"/>
          <w:lang w:val="en-US" w:eastAsia="zh-CN"/>
        </w:rPr>
        <w:t>T+1</w:t>
      </w:r>
      <w:r>
        <w:rPr>
          <w:rFonts w:hint="eastAsia" w:ascii="楷体" w:hAnsi="楷体" w:eastAsia="楷体" w:cs="Calibri"/>
          <w:b w:val="0"/>
          <w:bCs/>
          <w:sz w:val="21"/>
          <w:szCs w:val="21"/>
          <w:highlight w:val="none"/>
        </w:rPr>
        <w:t>日按开放日单位净值对申购/赎回申请予以统一</w:t>
      </w:r>
      <w:r>
        <w:rPr>
          <w:rFonts w:hint="eastAsia" w:ascii="楷体" w:hAnsi="楷体" w:eastAsia="楷体" w:cs="Calibri"/>
          <w:sz w:val="21"/>
          <w:szCs w:val="21"/>
          <w:highlight w:val="none"/>
        </w:rPr>
        <w:t>确认。</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sz w:val="21"/>
          <w:szCs w:val="21"/>
          <w:highlight w:val="none"/>
        </w:rPr>
      </w:pPr>
      <w:r>
        <w:rPr>
          <w:rFonts w:hint="eastAsia" w:ascii="楷体" w:hAnsi="楷体" w:eastAsia="楷体" w:cs="Calibri"/>
          <w:b w:val="0"/>
          <w:bCs/>
          <w:sz w:val="21"/>
          <w:szCs w:val="21"/>
          <w:highlight w:val="none"/>
          <w:lang w:val="en-US" w:eastAsia="zh-CN"/>
        </w:rPr>
        <w:t>管理人在份额登记日对投资者的</w:t>
      </w:r>
      <w:r>
        <w:rPr>
          <w:rFonts w:hint="eastAsia" w:ascii="楷体" w:hAnsi="楷体" w:eastAsia="楷体"/>
          <w:b w:val="0"/>
          <w:bCs/>
          <w:sz w:val="21"/>
          <w:szCs w:val="21"/>
          <w:highlight w:val="none"/>
        </w:rPr>
        <w:t>申购</w:t>
      </w:r>
      <w:r>
        <w:rPr>
          <w:rFonts w:hint="eastAsia" w:ascii="楷体" w:hAnsi="楷体" w:eastAsia="楷体" w:cs="Calibri"/>
          <w:b w:val="0"/>
          <w:bCs/>
          <w:sz w:val="21"/>
          <w:szCs w:val="21"/>
          <w:highlight w:val="none"/>
          <w:lang w:val="en-US" w:eastAsia="zh-CN"/>
        </w:rPr>
        <w:t>申请登记成功后并收到投资者全额交付的款项，视为投资者的</w:t>
      </w:r>
      <w:r>
        <w:rPr>
          <w:rFonts w:hint="eastAsia" w:ascii="楷体" w:hAnsi="楷体" w:eastAsia="楷体"/>
          <w:b w:val="0"/>
          <w:bCs/>
          <w:sz w:val="21"/>
          <w:szCs w:val="21"/>
          <w:highlight w:val="none"/>
        </w:rPr>
        <w:t>申购</w:t>
      </w:r>
      <w:r>
        <w:rPr>
          <w:rFonts w:hint="eastAsia" w:ascii="楷体" w:hAnsi="楷体" w:eastAsia="楷体" w:cs="Calibri"/>
          <w:b w:val="0"/>
          <w:bCs/>
          <w:sz w:val="21"/>
          <w:szCs w:val="21"/>
          <w:highlight w:val="none"/>
          <w:lang w:val="en-US" w:eastAsia="zh-CN"/>
        </w:rPr>
        <w:t>申请生效。投资者应在</w:t>
      </w:r>
      <w:r>
        <w:rPr>
          <w:rFonts w:hint="eastAsia" w:ascii="楷体" w:hAnsi="楷体" w:eastAsia="楷体"/>
          <w:b w:val="0"/>
          <w:bCs/>
          <w:sz w:val="21"/>
          <w:szCs w:val="21"/>
          <w:highlight w:val="none"/>
        </w:rPr>
        <w:t>开放日后</w:t>
      </w:r>
      <w:r>
        <w:rPr>
          <w:rFonts w:hint="eastAsia" w:ascii="楷体" w:hAnsi="楷体" w:eastAsia="楷体" w:cs="Calibri"/>
          <w:b w:val="0"/>
          <w:bCs/>
          <w:sz w:val="21"/>
          <w:szCs w:val="21"/>
          <w:highlight w:val="none"/>
          <w:lang w:val="en-US" w:eastAsia="zh-CN"/>
        </w:rPr>
        <w:t>及时查询最终的成交情况以及</w:t>
      </w:r>
      <w:r>
        <w:rPr>
          <w:rFonts w:hint="eastAsia" w:ascii="楷体" w:hAnsi="楷体" w:eastAsia="楷体"/>
          <w:b w:val="0"/>
          <w:bCs/>
          <w:sz w:val="21"/>
          <w:szCs w:val="21"/>
          <w:highlight w:val="none"/>
        </w:rPr>
        <w:t>申购</w:t>
      </w:r>
      <w:r>
        <w:rPr>
          <w:rFonts w:hint="eastAsia" w:ascii="楷体" w:hAnsi="楷体" w:eastAsia="楷体" w:cs="Calibri"/>
          <w:b w:val="0"/>
          <w:bCs/>
          <w:sz w:val="21"/>
          <w:szCs w:val="21"/>
          <w:highlight w:val="none"/>
          <w:lang w:val="en-US" w:eastAsia="zh-CN"/>
        </w:rPr>
        <w:t>的份额。</w:t>
      </w:r>
      <w:r>
        <w:rPr>
          <w:rFonts w:hint="eastAsia" w:ascii="楷体" w:hAnsi="楷体" w:eastAsia="楷体"/>
          <w:b w:val="0"/>
          <w:bCs/>
          <w:sz w:val="21"/>
          <w:szCs w:val="21"/>
          <w:highlight w:val="none"/>
        </w:rPr>
        <w:t>因投资者资金账户余额不足、司法冻结、不可抗力因素或其他不可归责于</w:t>
      </w:r>
      <w:r>
        <w:rPr>
          <w:rFonts w:hint="eastAsia" w:ascii="楷体" w:hAnsi="楷体" w:eastAsia="楷体"/>
          <w:b w:val="0"/>
          <w:bCs/>
          <w:sz w:val="21"/>
          <w:szCs w:val="21"/>
          <w:highlight w:val="none"/>
          <w:lang w:val="en-US" w:eastAsia="zh-CN"/>
        </w:rPr>
        <w:t>管理人</w:t>
      </w:r>
      <w:r>
        <w:rPr>
          <w:rFonts w:hint="eastAsia" w:ascii="楷体" w:hAnsi="楷体" w:eastAsia="楷体"/>
          <w:b w:val="0"/>
          <w:bCs/>
          <w:sz w:val="21"/>
          <w:szCs w:val="21"/>
          <w:highlight w:val="none"/>
        </w:rPr>
        <w:t>和销售机构的事由出现，造成申购</w:t>
      </w:r>
      <w:r>
        <w:rPr>
          <w:rFonts w:hint="eastAsia" w:ascii="楷体" w:hAnsi="楷体" w:eastAsia="楷体" w:cs="Calibri"/>
          <w:b w:val="0"/>
          <w:bCs/>
          <w:sz w:val="21"/>
          <w:szCs w:val="21"/>
          <w:highlight w:val="none"/>
          <w:lang w:val="en-US" w:eastAsia="zh-CN"/>
        </w:rPr>
        <w:t>申请</w:t>
      </w:r>
      <w:r>
        <w:rPr>
          <w:rFonts w:hint="eastAsia" w:ascii="楷体" w:hAnsi="楷体" w:eastAsia="楷体"/>
          <w:b w:val="0"/>
          <w:bCs/>
          <w:sz w:val="21"/>
          <w:szCs w:val="21"/>
          <w:highlight w:val="none"/>
        </w:rPr>
        <w:t>未被确认的，</w:t>
      </w:r>
      <w:r>
        <w:rPr>
          <w:rFonts w:hint="eastAsia" w:ascii="楷体" w:hAnsi="楷体" w:eastAsia="楷体"/>
          <w:b w:val="0"/>
          <w:bCs/>
          <w:sz w:val="21"/>
          <w:szCs w:val="21"/>
          <w:highlight w:val="none"/>
          <w:lang w:val="en-US" w:eastAsia="zh-CN"/>
        </w:rPr>
        <w:t>管理人</w:t>
      </w:r>
      <w:r>
        <w:rPr>
          <w:rFonts w:hint="eastAsia" w:ascii="楷体" w:hAnsi="楷体" w:eastAsia="楷体"/>
          <w:b w:val="0"/>
          <w:bCs/>
          <w:sz w:val="21"/>
          <w:szCs w:val="21"/>
          <w:highlight w:val="none"/>
        </w:rPr>
        <w:t>和销售机构不承担任何责任。</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sz w:val="21"/>
          <w:szCs w:val="21"/>
          <w:highlight w:val="none"/>
        </w:rPr>
      </w:pPr>
      <w:r>
        <w:rPr>
          <w:rFonts w:hint="eastAsia" w:ascii="楷体" w:hAnsi="楷体" w:eastAsia="楷体"/>
          <w:b w:val="0"/>
          <w:bCs/>
          <w:sz w:val="21"/>
          <w:szCs w:val="21"/>
          <w:highlight w:val="none"/>
        </w:rPr>
        <w:t>投资者赎回资金将在确认日后</w:t>
      </w:r>
      <w:r>
        <w:rPr>
          <w:rFonts w:hint="eastAsia" w:ascii="楷体" w:hAnsi="楷体" w:eastAsia="楷体"/>
          <w:b w:val="0"/>
          <w:bCs/>
          <w:sz w:val="21"/>
          <w:szCs w:val="21"/>
          <w:highlight w:val="none"/>
          <w:lang w:val="en-US" w:eastAsia="zh-CN"/>
        </w:rPr>
        <w:t>4</w:t>
      </w:r>
      <w:r>
        <w:rPr>
          <w:rFonts w:hint="eastAsia" w:ascii="楷体" w:hAnsi="楷体" w:eastAsia="楷体"/>
          <w:b w:val="0"/>
          <w:bCs/>
          <w:sz w:val="21"/>
          <w:szCs w:val="21"/>
          <w:highlight w:val="none"/>
        </w:rPr>
        <w:t>个工作日内到达投资者资金账户。</w:t>
      </w:r>
    </w:p>
    <w:p>
      <w:pPr>
        <w:keepNext w:val="0"/>
        <w:keepLines w:val="0"/>
        <w:pageBreakBefore w:val="0"/>
        <w:widowControl w:val="0"/>
        <w:numPr>
          <w:ilvl w:val="0"/>
          <w:numId w:val="10"/>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申购份额的计算</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sz w:val="21"/>
          <w:szCs w:val="21"/>
          <w:highlight w:val="none"/>
          <w:lang w:eastAsia="zh-CN"/>
        </w:rPr>
      </w:pPr>
      <w:r>
        <w:rPr>
          <w:rFonts w:hint="eastAsia" w:ascii="楷体" w:hAnsi="楷体" w:eastAsia="楷体"/>
          <w:b w:val="0"/>
          <w:bCs/>
          <w:sz w:val="21"/>
          <w:szCs w:val="21"/>
          <w:highlight w:val="none"/>
        </w:rPr>
        <w:t>申购份额=申购金额/开放日产品单位净值</w:t>
      </w:r>
      <w:r>
        <w:rPr>
          <w:rFonts w:hint="eastAsia" w:ascii="楷体" w:hAnsi="楷体" w:eastAsia="楷体"/>
          <w:b w:val="0"/>
          <w:bCs/>
          <w:sz w:val="21"/>
          <w:szCs w:val="21"/>
          <w:highlight w:val="none"/>
          <w:lang w:eastAsia="zh-CN"/>
        </w:rPr>
        <w:t>，</w:t>
      </w:r>
      <w:r>
        <w:rPr>
          <w:rFonts w:hint="eastAsia" w:ascii="楷体" w:hAnsi="楷体" w:eastAsia="楷体"/>
          <w:b w:val="0"/>
          <w:bCs/>
          <w:sz w:val="21"/>
          <w:szCs w:val="21"/>
          <w:highlight w:val="none"/>
        </w:rPr>
        <w:t>申购份额以四舍五入的方法保留到小数点后两位</w:t>
      </w:r>
      <w:r>
        <w:rPr>
          <w:rFonts w:hint="eastAsia" w:ascii="楷体" w:hAnsi="楷体" w:eastAsia="楷体"/>
          <w:b w:val="0"/>
          <w:bCs/>
          <w:sz w:val="21"/>
          <w:szCs w:val="21"/>
          <w:highlight w:val="none"/>
          <w:lang w:eastAsia="zh-CN"/>
        </w:rPr>
        <w:t>。</w:t>
      </w:r>
    </w:p>
    <w:p>
      <w:pPr>
        <w:keepNext w:val="0"/>
        <w:keepLines w:val="0"/>
        <w:pageBreakBefore w:val="0"/>
        <w:widowControl w:val="0"/>
        <w:numPr>
          <w:ilvl w:val="0"/>
          <w:numId w:val="10"/>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赎回金额的计算</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sz w:val="21"/>
          <w:szCs w:val="21"/>
          <w:highlight w:val="none"/>
          <w:lang w:eastAsia="zh-CN"/>
        </w:rPr>
      </w:pPr>
      <w:r>
        <w:rPr>
          <w:rFonts w:hint="eastAsia" w:ascii="楷体" w:hAnsi="楷体" w:eastAsia="楷体"/>
          <w:b w:val="0"/>
          <w:bCs/>
          <w:sz w:val="21"/>
          <w:szCs w:val="21"/>
          <w:highlight w:val="none"/>
        </w:rPr>
        <w:t>赎回金额=赎回份额*开放日产品单位净值</w:t>
      </w:r>
      <w:r>
        <w:rPr>
          <w:rFonts w:hint="eastAsia" w:ascii="楷体" w:hAnsi="楷体" w:eastAsia="楷体"/>
          <w:sz w:val="21"/>
          <w:szCs w:val="21"/>
          <w:highlight w:val="none"/>
          <w:lang w:val="en-US" w:eastAsia="zh-CN"/>
        </w:rPr>
        <w:t>-超额业绩报酬（如有）</w:t>
      </w:r>
      <w:r>
        <w:rPr>
          <w:rFonts w:hint="eastAsia" w:ascii="楷体" w:hAnsi="楷体" w:eastAsia="楷体"/>
          <w:b w:val="0"/>
          <w:bCs/>
          <w:sz w:val="21"/>
          <w:szCs w:val="21"/>
          <w:highlight w:val="none"/>
          <w:lang w:eastAsia="zh-CN"/>
        </w:rPr>
        <w:t>，</w:t>
      </w:r>
      <w:r>
        <w:rPr>
          <w:rFonts w:hint="eastAsia" w:ascii="楷体" w:hAnsi="楷体" w:eastAsia="楷体"/>
          <w:b w:val="0"/>
          <w:bCs/>
          <w:sz w:val="21"/>
          <w:szCs w:val="21"/>
          <w:highlight w:val="none"/>
        </w:rPr>
        <w:t>赎回金额以四舍五入的方法保留到小数点后两位</w:t>
      </w:r>
      <w:r>
        <w:rPr>
          <w:rFonts w:hint="eastAsia" w:ascii="楷体" w:hAnsi="楷体" w:eastAsia="楷体"/>
          <w:b w:val="0"/>
          <w:bCs/>
          <w:sz w:val="21"/>
          <w:szCs w:val="21"/>
          <w:highlight w:val="none"/>
          <w:lang w:eastAsia="zh-CN"/>
        </w:rPr>
        <w:t>。</w:t>
      </w:r>
    </w:p>
    <w:p>
      <w:pPr>
        <w:keepNext w:val="0"/>
        <w:keepLines w:val="0"/>
        <w:pageBreakBefore w:val="0"/>
        <w:widowControl w:val="0"/>
        <w:numPr>
          <w:ilvl w:val="0"/>
          <w:numId w:val="10"/>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巨额赎回：详见“产品要素”。</w:t>
      </w:r>
    </w:p>
    <w:p>
      <w:pPr>
        <w:keepNext w:val="0"/>
        <w:keepLines w:val="0"/>
        <w:pageBreakBefore w:val="0"/>
        <w:widowControl w:val="0"/>
        <w:numPr>
          <w:ilvl w:val="0"/>
          <w:numId w:val="10"/>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特殊情形及处理</w:t>
      </w:r>
    </w:p>
    <w:p>
      <w:pPr>
        <w:keepNext w:val="0"/>
        <w:keepLines w:val="0"/>
        <w:pageBreakBefore w:val="0"/>
        <w:wordWrap/>
        <w:topLinePunct w:val="0"/>
        <w:autoSpaceDE/>
        <w:autoSpaceDN/>
        <w:bidi w:val="0"/>
        <w:ind w:firstLine="420" w:firstLineChars="200"/>
        <w:textAlignment w:val="auto"/>
        <w:rPr>
          <w:rFonts w:ascii="楷体" w:hAnsi="楷体" w:eastAsia="楷体"/>
          <w:b w:val="0"/>
          <w:bCs w:val="0"/>
          <w:sz w:val="21"/>
          <w:szCs w:val="21"/>
          <w:highlight w:val="none"/>
        </w:rPr>
      </w:pPr>
      <w:r>
        <w:rPr>
          <w:rFonts w:ascii="楷体" w:hAnsi="楷体" w:eastAsia="楷体"/>
          <w:b w:val="0"/>
          <w:bCs w:val="0"/>
          <w:sz w:val="21"/>
          <w:szCs w:val="21"/>
          <w:highlight w:val="none"/>
        </w:rPr>
        <w:t>1.</w:t>
      </w:r>
      <w:r>
        <w:rPr>
          <w:rFonts w:hint="eastAsia" w:ascii="楷体" w:hAnsi="楷体" w:eastAsia="楷体"/>
          <w:b w:val="0"/>
          <w:bCs w:val="0"/>
          <w:sz w:val="21"/>
          <w:szCs w:val="21"/>
          <w:highlight w:val="none"/>
        </w:rPr>
        <w:t>除以下情形外，管理人不得拒绝接受或暂停接受投资者的申购申请：</w:t>
      </w:r>
    </w:p>
    <w:p>
      <w:pPr>
        <w:keepNext w:val="0"/>
        <w:keepLines w:val="0"/>
        <w:pageBreakBefore w:val="0"/>
        <w:numPr>
          <w:ilvl w:val="0"/>
          <w:numId w:val="0"/>
        </w:numPr>
        <w:tabs>
          <w:tab w:val="left" w:pos="728"/>
        </w:tabs>
        <w:wordWrap/>
        <w:topLinePunct w:val="0"/>
        <w:autoSpaceDE/>
        <w:autoSpaceDN/>
        <w:bidi w:val="0"/>
        <w:ind w:left="0" w:leftChars="0"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rPr>
        <w:t>（1）不可抗力的原因导致产品无法正常运作</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（2）超出产品单一投资者持有上限</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w:t>
      </w:r>
      <w:r>
        <w:rPr>
          <w:rFonts w:hint="eastAsia" w:ascii="楷体" w:hAnsi="楷体" w:eastAsia="楷体" w:cs="Calibri"/>
          <w:sz w:val="21"/>
          <w:szCs w:val="21"/>
          <w:highlight w:val="none"/>
          <w:lang w:val="en-US" w:eastAsia="zh-CN"/>
        </w:rPr>
        <w:t>3</w:t>
      </w:r>
      <w:r>
        <w:rPr>
          <w:rFonts w:hint="eastAsia" w:ascii="楷体" w:hAnsi="楷体" w:eastAsia="楷体" w:cs="Calibri"/>
          <w:sz w:val="21"/>
          <w:szCs w:val="21"/>
          <w:highlight w:val="none"/>
        </w:rPr>
        <w:t>）发生《理财产品说明书》约定的暂停估值的情形</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w:t>
      </w:r>
      <w:r>
        <w:rPr>
          <w:rFonts w:hint="eastAsia" w:ascii="楷体" w:hAnsi="楷体" w:eastAsia="楷体" w:cs="Calibri"/>
          <w:sz w:val="21"/>
          <w:szCs w:val="21"/>
          <w:highlight w:val="none"/>
          <w:lang w:val="en-US" w:eastAsia="zh-CN"/>
        </w:rPr>
        <w:t>4</w:t>
      </w:r>
      <w:r>
        <w:rPr>
          <w:rFonts w:hint="eastAsia" w:ascii="楷体" w:hAnsi="楷体" w:eastAsia="楷体" w:cs="Calibri"/>
          <w:sz w:val="21"/>
          <w:szCs w:val="21"/>
          <w:highlight w:val="none"/>
        </w:rPr>
        <w:t>）管理人接受某笔或者某些申购申请有可能导致单一投资者持有理财</w:t>
      </w:r>
      <w:r>
        <w:rPr>
          <w:rFonts w:hint="eastAsia" w:ascii="楷体" w:hAnsi="楷体" w:eastAsia="楷体" w:cs="Calibri"/>
          <w:sz w:val="21"/>
          <w:szCs w:val="21"/>
          <w:highlight w:val="none"/>
          <w:lang w:val="en-US" w:eastAsia="zh-CN"/>
        </w:rPr>
        <w:t>产品</w:t>
      </w:r>
      <w:r>
        <w:rPr>
          <w:rFonts w:hint="eastAsia" w:ascii="楷体" w:hAnsi="楷体" w:eastAsia="楷体" w:cs="Calibri"/>
          <w:sz w:val="21"/>
          <w:szCs w:val="21"/>
          <w:highlight w:val="none"/>
        </w:rPr>
        <w:t>份额的比例达到或者超过50%的情形</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w:t>
      </w:r>
      <w:r>
        <w:rPr>
          <w:rFonts w:hint="eastAsia" w:ascii="楷体" w:hAnsi="楷体" w:eastAsia="楷体" w:cs="Calibri"/>
          <w:sz w:val="21"/>
          <w:szCs w:val="21"/>
          <w:highlight w:val="none"/>
          <w:lang w:val="en-US" w:eastAsia="zh-CN"/>
        </w:rPr>
        <w:t>5</w:t>
      </w:r>
      <w:r>
        <w:rPr>
          <w:rFonts w:hint="eastAsia" w:ascii="楷体" w:hAnsi="楷体" w:eastAsia="楷体" w:cs="Calibri"/>
          <w:sz w:val="21"/>
          <w:szCs w:val="21"/>
          <w:highlight w:val="none"/>
        </w:rPr>
        <w:t>）当接受某笔或某些申购申请可能对存量理财</w:t>
      </w:r>
      <w:r>
        <w:rPr>
          <w:rFonts w:hint="eastAsia" w:ascii="楷体" w:hAnsi="楷体" w:eastAsia="楷体" w:cs="Calibri"/>
          <w:sz w:val="21"/>
          <w:szCs w:val="21"/>
          <w:highlight w:val="none"/>
          <w:lang w:val="en-US" w:eastAsia="zh-CN"/>
        </w:rPr>
        <w:t>产品</w:t>
      </w:r>
      <w:r>
        <w:rPr>
          <w:rFonts w:hint="eastAsia" w:ascii="楷体" w:hAnsi="楷体" w:eastAsia="楷体" w:cs="Calibri"/>
          <w:sz w:val="21"/>
          <w:szCs w:val="21"/>
          <w:highlight w:val="none"/>
        </w:rPr>
        <w:t>份额持有人利益构成潜在重大不利影响时</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w:t>
      </w:r>
      <w:r>
        <w:rPr>
          <w:rFonts w:hint="eastAsia" w:ascii="楷体" w:hAnsi="楷体" w:eastAsia="楷体" w:cs="Calibri"/>
          <w:sz w:val="21"/>
          <w:szCs w:val="21"/>
          <w:highlight w:val="none"/>
          <w:lang w:val="en-US" w:eastAsia="zh-CN"/>
        </w:rPr>
        <w:t>6</w:t>
      </w:r>
      <w:r>
        <w:rPr>
          <w:rFonts w:hint="eastAsia" w:ascii="楷体" w:hAnsi="楷体" w:eastAsia="楷体" w:cs="Calibri"/>
          <w:sz w:val="21"/>
          <w:szCs w:val="21"/>
          <w:highlight w:val="none"/>
        </w:rPr>
        <w:t>）法律、法规规定认定的其他情形。</w:t>
      </w:r>
    </w:p>
    <w:p>
      <w:pPr>
        <w:keepNext w:val="0"/>
        <w:keepLines w:val="0"/>
        <w:pageBreakBefore w:val="0"/>
        <w:numPr>
          <w:ilvl w:val="0"/>
          <w:numId w:val="0"/>
        </w:numPr>
        <w:tabs>
          <w:tab w:val="left" w:pos="728"/>
        </w:tabs>
        <w:wordWrap/>
        <w:topLinePunct w:val="0"/>
        <w:autoSpaceDE/>
        <w:autoSpaceDN/>
        <w:bidi w:val="0"/>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在上述暂停或拒绝申购的情况消除后，管理人将及时恢复申购业务的办理。</w:t>
      </w:r>
    </w:p>
    <w:p>
      <w:pPr>
        <w:keepNext w:val="0"/>
        <w:keepLines w:val="0"/>
        <w:pageBreakBefore w:val="0"/>
        <w:wordWrap/>
        <w:topLinePunct w:val="0"/>
        <w:autoSpaceDE/>
        <w:autoSpaceDN/>
        <w:bidi w:val="0"/>
        <w:ind w:firstLine="420" w:firstLineChars="200"/>
        <w:textAlignment w:val="auto"/>
        <w:rPr>
          <w:rFonts w:ascii="楷体" w:hAnsi="楷体" w:eastAsia="楷体"/>
          <w:b w:val="0"/>
          <w:bCs w:val="0"/>
          <w:sz w:val="21"/>
          <w:szCs w:val="21"/>
          <w:highlight w:val="none"/>
        </w:rPr>
      </w:pPr>
      <w:r>
        <w:rPr>
          <w:rFonts w:ascii="楷体" w:hAnsi="楷体" w:eastAsia="楷体"/>
          <w:b w:val="0"/>
          <w:bCs w:val="0"/>
          <w:sz w:val="21"/>
          <w:szCs w:val="21"/>
          <w:highlight w:val="none"/>
        </w:rPr>
        <w:t>2.</w:t>
      </w:r>
      <w:r>
        <w:rPr>
          <w:rFonts w:hint="eastAsia" w:ascii="楷体" w:hAnsi="楷体" w:eastAsia="楷体"/>
          <w:b w:val="0"/>
          <w:bCs w:val="0"/>
          <w:sz w:val="21"/>
          <w:szCs w:val="21"/>
          <w:highlight w:val="none"/>
        </w:rPr>
        <w:t>除以下情形外，管理人不得暂停接受投资者的赎回申请或延缓支付赎回款项：</w:t>
      </w:r>
    </w:p>
    <w:p>
      <w:pPr>
        <w:keepNext w:val="0"/>
        <w:keepLines w:val="0"/>
        <w:pageBreakBefore w:val="0"/>
        <w:numPr>
          <w:ilvl w:val="0"/>
          <w:numId w:val="0"/>
        </w:numPr>
        <w:tabs>
          <w:tab w:val="left" w:pos="728"/>
        </w:tabs>
        <w:wordWrap/>
        <w:topLinePunct w:val="0"/>
        <w:autoSpaceDE/>
        <w:autoSpaceDN/>
        <w:bidi w:val="0"/>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rPr>
        <w:t>（1）不可抗力的原因导致管理人不能支付赎回款项</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（2）触发巨额赎回条款</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（3）发生《理财产品说明书》约定的暂停估值的情形</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（4）当接受某笔或某些赎回申请可能对存量理财</w:t>
      </w:r>
      <w:r>
        <w:rPr>
          <w:rFonts w:hint="eastAsia" w:ascii="楷体" w:hAnsi="楷体" w:eastAsia="楷体" w:cs="Calibri"/>
          <w:sz w:val="21"/>
          <w:szCs w:val="21"/>
          <w:highlight w:val="none"/>
          <w:lang w:val="en-US" w:eastAsia="zh-CN"/>
        </w:rPr>
        <w:t>产品</w:t>
      </w:r>
      <w:r>
        <w:rPr>
          <w:rFonts w:hint="eastAsia" w:ascii="楷体" w:hAnsi="楷体" w:eastAsia="楷体" w:cs="Calibri"/>
          <w:sz w:val="21"/>
          <w:szCs w:val="21"/>
          <w:highlight w:val="none"/>
        </w:rPr>
        <w:t>份额持有人利益构成潜在重大不利影响时</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rPr>
        <w:t>（</w:t>
      </w:r>
      <w:r>
        <w:rPr>
          <w:rFonts w:hint="eastAsia" w:ascii="楷体" w:hAnsi="楷体" w:eastAsia="楷体" w:cs="Calibri"/>
          <w:sz w:val="21"/>
          <w:szCs w:val="21"/>
          <w:highlight w:val="none"/>
          <w:lang w:val="en-US" w:eastAsia="zh-CN"/>
        </w:rPr>
        <w:t>5</w:t>
      </w:r>
      <w:r>
        <w:rPr>
          <w:rFonts w:hint="eastAsia" w:ascii="楷体" w:hAnsi="楷体" w:eastAsia="楷体" w:cs="Calibri"/>
          <w:sz w:val="21"/>
          <w:szCs w:val="21"/>
          <w:highlight w:val="none"/>
        </w:rPr>
        <w:t>）法律、法规规定认定的其他情形。</w:t>
      </w:r>
    </w:p>
    <w:p>
      <w:pPr>
        <w:keepNext w:val="0"/>
        <w:keepLines w:val="0"/>
        <w:pageBreakBefore w:val="0"/>
        <w:numPr>
          <w:ilvl w:val="0"/>
          <w:numId w:val="0"/>
        </w:numPr>
        <w:tabs>
          <w:tab w:val="left" w:pos="728"/>
        </w:tabs>
        <w:wordWrap/>
        <w:topLinePunct w:val="0"/>
        <w:autoSpaceDE/>
        <w:autoSpaceDN/>
        <w:bidi w:val="0"/>
        <w:ind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rPr>
        <w:t>若管理人决定</w:t>
      </w:r>
      <w:r>
        <w:rPr>
          <w:rFonts w:hint="eastAsia" w:ascii="楷体" w:hAnsi="楷体" w:eastAsia="楷体"/>
          <w:sz w:val="21"/>
          <w:szCs w:val="21"/>
          <w:highlight w:val="none"/>
        </w:rPr>
        <w:t>暂停接受投资者的赎回申请或延缓支付赎回款项</w:t>
      </w:r>
      <w:r>
        <w:rPr>
          <w:rFonts w:hint="eastAsia" w:ascii="楷体" w:hAnsi="楷体" w:eastAsia="楷体" w:cs="Calibri"/>
          <w:sz w:val="21"/>
          <w:szCs w:val="21"/>
          <w:highlight w:val="none"/>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 w:val="21"/>
          <w:szCs w:val="21"/>
          <w:highlight w:val="none"/>
        </w:rPr>
        <w:t>暂停接受投资者的赎回申请或延缓支付赎回款项的情况消除后</w:t>
      </w:r>
      <w:r>
        <w:rPr>
          <w:rFonts w:hint="eastAsia" w:ascii="楷体" w:hAnsi="楷体" w:eastAsia="楷体" w:cs="Calibri"/>
          <w:sz w:val="21"/>
          <w:szCs w:val="21"/>
          <w:highlight w:val="none"/>
        </w:rPr>
        <w:t>，管理人将及时恢复</w:t>
      </w:r>
      <w:r>
        <w:rPr>
          <w:rFonts w:hint="eastAsia" w:ascii="楷体" w:hAnsi="楷体" w:eastAsia="楷体" w:cs="Calibri"/>
          <w:sz w:val="21"/>
          <w:szCs w:val="21"/>
          <w:highlight w:val="none"/>
          <w:lang w:val="en-US" w:eastAsia="zh-CN"/>
        </w:rPr>
        <w:t>赎回</w:t>
      </w:r>
      <w:r>
        <w:rPr>
          <w:rFonts w:hint="eastAsia" w:ascii="楷体" w:hAnsi="楷体" w:eastAsia="楷体" w:cs="Calibri"/>
          <w:sz w:val="21"/>
          <w:szCs w:val="21"/>
          <w:highlight w:val="none"/>
        </w:rPr>
        <w:t>业务的办理。</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产品终止</w:t>
      </w:r>
    </w:p>
    <w:p>
      <w:pPr>
        <w:keepNext w:val="0"/>
        <w:keepLines w:val="0"/>
        <w:pageBreakBefore w:val="0"/>
        <w:widowControl w:val="0"/>
        <w:numPr>
          <w:ilvl w:val="0"/>
          <w:numId w:val="12"/>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b w:val="0"/>
          <w:bCs w:val="0"/>
          <w:color w:val="auto"/>
          <w:sz w:val="21"/>
          <w:szCs w:val="21"/>
          <w:highlight w:val="none"/>
        </w:rPr>
      </w:pPr>
      <w:r>
        <w:rPr>
          <w:rFonts w:hint="eastAsia" w:ascii="楷体" w:hAnsi="楷体" w:eastAsia="楷体" w:cs="楷体"/>
          <w:b w:val="0"/>
          <w:bCs w:val="0"/>
          <w:color w:val="auto"/>
          <w:sz w:val="21"/>
          <w:szCs w:val="21"/>
          <w:highlight w:val="none"/>
        </w:rPr>
        <w:t>提前终止</w:t>
      </w:r>
    </w:p>
    <w:p>
      <w:pPr>
        <w:keepNext w:val="0"/>
        <w:keepLines w:val="0"/>
        <w:pageBreakBefore w:val="0"/>
        <w:numPr>
          <w:ilvl w:val="0"/>
          <w:numId w:val="0"/>
        </w:numPr>
        <w:wordWrap/>
        <w:topLinePunct w:val="0"/>
        <w:autoSpaceDE/>
        <w:autoSpaceDN/>
        <w:bidi w:val="0"/>
        <w:ind w:left="0"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cs="Calibri"/>
          <w:b w:val="0"/>
          <w:bCs w:val="0"/>
          <w:color w:val="auto"/>
          <w:sz w:val="21"/>
          <w:szCs w:val="21"/>
          <w:highlight w:val="none"/>
        </w:rPr>
        <w:t>在理财产品投资运作期间内，投资者无权要求提前终止该理财产品。在理财产品投资运作期间内，</w:t>
      </w:r>
      <w:r>
        <w:rPr>
          <w:rFonts w:hint="eastAsia" w:ascii="楷体" w:hAnsi="楷体" w:eastAsia="楷体" w:cs="Calibri"/>
          <w:b w:val="0"/>
          <w:bCs w:val="0"/>
          <w:color w:val="auto"/>
          <w:sz w:val="21"/>
          <w:szCs w:val="21"/>
          <w:highlight w:val="none"/>
          <w:lang w:val="en-US" w:eastAsia="zh-CN"/>
        </w:rPr>
        <w:t>包括但不限于</w:t>
      </w:r>
      <w:r>
        <w:rPr>
          <w:rFonts w:hint="eastAsia" w:ascii="楷体" w:hAnsi="楷体" w:eastAsia="楷体" w:cs="Calibri"/>
          <w:b w:val="0"/>
          <w:bCs w:val="0"/>
          <w:color w:val="auto"/>
          <w:sz w:val="21"/>
          <w:szCs w:val="21"/>
          <w:highlight w:val="none"/>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b w:val="0"/>
          <w:bCs w:val="0"/>
          <w:color w:val="auto"/>
          <w:sz w:val="21"/>
          <w:szCs w:val="21"/>
          <w:highlight w:val="none"/>
        </w:rPr>
        <w:t>如理财产品管理人提前终止本理财产品，将至少提前2个工作日（含）按说明书约定的信息披露方式予以披露</w:t>
      </w:r>
      <w:r>
        <w:rPr>
          <w:rFonts w:hint="eastAsia" w:ascii="楷体" w:hAnsi="楷体" w:eastAsia="楷体"/>
          <w:b w:val="0"/>
          <w:bCs w:val="0"/>
          <w:color w:val="auto"/>
          <w:sz w:val="21"/>
          <w:szCs w:val="21"/>
          <w:highlight w:val="none"/>
          <w:lang w:eastAsia="zh-CN"/>
        </w:rPr>
        <w:t>，</w:t>
      </w:r>
      <w:r>
        <w:rPr>
          <w:rFonts w:hint="eastAsia" w:ascii="楷体" w:hAnsi="楷体" w:eastAsia="楷体"/>
          <w:b w:val="0"/>
          <w:bCs w:val="0"/>
          <w:color w:val="auto"/>
          <w:sz w:val="21"/>
          <w:szCs w:val="21"/>
          <w:highlight w:val="none"/>
          <w:lang w:val="en-US" w:eastAsia="zh-CN"/>
        </w:rPr>
        <w:t>明确产品终止日</w:t>
      </w:r>
      <w:r>
        <w:rPr>
          <w:rFonts w:hint="eastAsia" w:ascii="楷体" w:hAnsi="楷体" w:eastAsia="楷体"/>
          <w:b w:val="0"/>
          <w:bCs w:val="0"/>
          <w:color w:val="auto"/>
          <w:sz w:val="21"/>
          <w:szCs w:val="21"/>
          <w:highlight w:val="none"/>
        </w:rPr>
        <w:t>。</w:t>
      </w:r>
    </w:p>
    <w:p>
      <w:pPr>
        <w:keepNext w:val="0"/>
        <w:keepLines w:val="0"/>
        <w:pageBreakBefore w:val="0"/>
        <w:widowControl w:val="0"/>
        <w:numPr>
          <w:ilvl w:val="0"/>
          <w:numId w:val="12"/>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lang w:val="en-US" w:eastAsia="zh-CN"/>
        </w:rPr>
        <w:t>正常终止</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投资者持有本理财产品至产品到期日，投资者的投资本金和收益（如有）将在产品到期后一次性支付。</w:t>
      </w:r>
    </w:p>
    <w:p>
      <w:pPr>
        <w:keepNext w:val="0"/>
        <w:keepLines w:val="0"/>
        <w:pageBreakBefore w:val="0"/>
        <w:widowControl w:val="0"/>
        <w:numPr>
          <w:ilvl w:val="0"/>
          <w:numId w:val="12"/>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延期</w:t>
      </w:r>
      <w:r>
        <w:rPr>
          <w:rFonts w:hint="eastAsia" w:ascii="楷体" w:hAnsi="楷体" w:eastAsia="楷体" w:cs="Calibri"/>
          <w:b w:val="0"/>
          <w:bCs w:val="0"/>
          <w:color w:val="auto"/>
          <w:sz w:val="21"/>
          <w:szCs w:val="21"/>
          <w:highlight w:val="none"/>
          <w:lang w:val="en-US" w:eastAsia="zh-CN"/>
        </w:rPr>
        <w:t>终止</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keepNext w:val="0"/>
        <w:keepLines w:val="0"/>
        <w:pageBreakBefore w:val="0"/>
        <w:widowControl w:val="0"/>
        <w:numPr>
          <w:ilvl w:val="0"/>
          <w:numId w:val="12"/>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投资者可得资金计算</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投资者可得资金=投资者持有份额×产品到期</w:t>
      </w:r>
      <w:r>
        <w:rPr>
          <w:rFonts w:hint="eastAsia" w:ascii="楷体" w:hAnsi="楷体" w:eastAsia="楷体"/>
          <w:b w:val="0"/>
          <w:bCs w:val="0"/>
          <w:color w:val="auto"/>
          <w:sz w:val="21"/>
          <w:szCs w:val="21"/>
          <w:highlight w:val="none"/>
          <w:lang w:eastAsia="zh-CN"/>
        </w:rPr>
        <w:t>（</w:t>
      </w:r>
      <w:r>
        <w:rPr>
          <w:rFonts w:hint="eastAsia" w:ascii="楷体" w:hAnsi="楷体" w:eastAsia="楷体"/>
          <w:b w:val="0"/>
          <w:bCs w:val="0"/>
          <w:color w:val="auto"/>
          <w:sz w:val="21"/>
          <w:szCs w:val="21"/>
          <w:highlight w:val="none"/>
          <w:lang w:val="en-US" w:eastAsia="zh-CN"/>
        </w:rPr>
        <w:t>终止）</w:t>
      </w:r>
      <w:r>
        <w:rPr>
          <w:rFonts w:hint="eastAsia" w:ascii="楷体" w:hAnsi="楷体" w:eastAsia="楷体"/>
          <w:b w:val="0"/>
          <w:bCs w:val="0"/>
          <w:color w:val="auto"/>
          <w:sz w:val="21"/>
          <w:szCs w:val="21"/>
          <w:highlight w:val="none"/>
        </w:rPr>
        <w:t>时单位净值</w:t>
      </w:r>
      <w:r>
        <w:rPr>
          <w:rFonts w:hint="eastAsia" w:ascii="楷体" w:hAnsi="楷体" w:eastAsia="楷体"/>
          <w:b w:val="0"/>
          <w:bCs w:val="0"/>
          <w:color w:val="auto"/>
          <w:sz w:val="21"/>
          <w:szCs w:val="21"/>
          <w:highlight w:val="none"/>
          <w:lang w:val="en-US" w:eastAsia="zh-CN"/>
        </w:rPr>
        <w:t>-超额业绩报酬（如有）</w:t>
      </w:r>
      <w:r>
        <w:rPr>
          <w:rFonts w:hint="eastAsia" w:ascii="楷体" w:hAnsi="楷体" w:eastAsia="楷体"/>
          <w:b w:val="0"/>
          <w:bCs w:val="0"/>
          <w:color w:val="auto"/>
          <w:sz w:val="21"/>
          <w:szCs w:val="21"/>
          <w:highlight w:val="none"/>
          <w:lang w:eastAsia="zh-CN"/>
        </w:rPr>
        <w:t>，</w:t>
      </w:r>
      <w:r>
        <w:rPr>
          <w:rFonts w:hint="eastAsia" w:ascii="楷体" w:hAnsi="楷体" w:eastAsia="楷体"/>
          <w:b w:val="0"/>
          <w:bCs w:val="0"/>
          <w:color w:val="auto"/>
          <w:sz w:val="21"/>
          <w:szCs w:val="21"/>
          <w:highlight w:val="none"/>
        </w:rPr>
        <w:t>投资者可得资金以四舍五入的方法保留到小数点后两位。</w:t>
      </w:r>
    </w:p>
    <w:p>
      <w:pPr>
        <w:keepNext w:val="0"/>
        <w:keepLines w:val="0"/>
        <w:pageBreakBefore w:val="0"/>
        <w:widowControl w:val="0"/>
        <w:numPr>
          <w:ilvl w:val="0"/>
          <w:numId w:val="12"/>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lang w:val="en-US" w:eastAsia="zh-CN"/>
        </w:rPr>
        <w:t>终止</w:t>
      </w:r>
      <w:r>
        <w:rPr>
          <w:rFonts w:hint="eastAsia" w:ascii="楷体" w:hAnsi="楷体" w:eastAsia="楷体" w:cs="Calibri"/>
          <w:b w:val="0"/>
          <w:bCs w:val="0"/>
          <w:color w:val="auto"/>
          <w:sz w:val="21"/>
          <w:szCs w:val="21"/>
          <w:highlight w:val="none"/>
        </w:rPr>
        <w:t>清算</w:t>
      </w:r>
    </w:p>
    <w:p>
      <w:pPr>
        <w:keepNext w:val="0"/>
        <w:keepLines w:val="0"/>
        <w:pageBreakBefore w:val="0"/>
        <w:widowControl w:val="0"/>
        <w:numPr>
          <w:ilvl w:val="0"/>
          <w:numId w:val="0"/>
        </w:numPr>
        <w:tabs>
          <w:tab w:val="left" w:pos="1092"/>
        </w:tabs>
        <w:wordWrap/>
        <w:topLinePunct w:val="0"/>
        <w:autoSpaceDE/>
        <w:autoSpaceDN/>
        <w:bidi w:val="0"/>
        <w:ind w:firstLine="420" w:firstLineChars="200"/>
        <w:jc w:val="both"/>
        <w:textAlignment w:val="auto"/>
        <w:rPr>
          <w:rFonts w:hint="eastAsia" w:ascii="楷体" w:hAnsi="楷体" w:eastAsia="楷体" w:cs="Calibri"/>
          <w:sz w:val="24"/>
          <w:szCs w:val="24"/>
          <w:highlight w:val="none"/>
        </w:rPr>
      </w:pPr>
      <w:r>
        <w:rPr>
          <w:rFonts w:hint="eastAsia" w:ascii="楷体" w:hAnsi="楷体" w:eastAsia="楷体" w:cs="Calibri"/>
          <w:color w:val="auto"/>
          <w:sz w:val="21"/>
          <w:szCs w:val="21"/>
          <w:highlight w:val="none"/>
        </w:rPr>
        <w:t>投资者的投资本金和收益（如有）将于产品到期日</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lang w:val="en-US" w:eastAsia="zh-CN"/>
        </w:rPr>
        <w:t>产品终止日）</w:t>
      </w:r>
      <w:r>
        <w:rPr>
          <w:rFonts w:hint="eastAsia" w:ascii="楷体" w:hAnsi="楷体" w:eastAsia="楷体" w:cs="Calibri"/>
          <w:color w:val="auto"/>
          <w:sz w:val="21"/>
          <w:szCs w:val="21"/>
          <w:highlight w:val="none"/>
        </w:rPr>
        <w:t>后5个工作日以内划至投资者指定账户，如遇</w:t>
      </w:r>
      <w:r>
        <w:rPr>
          <w:rFonts w:hint="eastAsia" w:ascii="楷体" w:hAnsi="楷体" w:eastAsia="楷体" w:cs="Calibri"/>
          <w:color w:val="auto"/>
          <w:sz w:val="21"/>
          <w:szCs w:val="21"/>
          <w:highlight w:val="none"/>
          <w:lang w:val="en-US" w:eastAsia="zh-CN"/>
        </w:rPr>
        <w:t>非工作日</w:t>
      </w:r>
      <w:r>
        <w:rPr>
          <w:rFonts w:hint="eastAsia" w:ascii="楷体" w:hAnsi="楷体" w:eastAsia="楷体" w:cs="Calibri"/>
          <w:color w:val="auto"/>
          <w:sz w:val="21"/>
          <w:szCs w:val="21"/>
          <w:highlight w:val="none"/>
        </w:rPr>
        <w:t>则相应顺延。</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lang w:val="en-US" w:eastAsia="zh-CN"/>
        </w:rPr>
      </w:pPr>
      <w:r>
        <w:rPr>
          <w:rFonts w:hint="eastAsia" w:ascii="楷体" w:hAnsi="楷体" w:eastAsia="楷体" w:cs="Times New Roman"/>
          <w:b/>
          <w:sz w:val="21"/>
          <w:szCs w:val="21"/>
          <w:highlight w:val="none"/>
          <w:lang w:val="en-US" w:eastAsia="zh-CN"/>
        </w:rPr>
        <w:t>情景示例</w:t>
      </w:r>
    </w:p>
    <w:p>
      <w:pPr>
        <w:keepNext w:val="0"/>
        <w:keepLines w:val="0"/>
        <w:pageBreakBefore w:val="0"/>
        <w:tabs>
          <w:tab w:val="left" w:pos="993"/>
        </w:tabs>
        <w:wordWrap/>
        <w:topLinePunct w:val="0"/>
        <w:autoSpaceDE/>
        <w:autoSpaceDN/>
        <w:bidi w:val="0"/>
        <w:ind w:left="480"/>
        <w:textAlignment w:val="auto"/>
        <w:rPr>
          <w:rFonts w:hint="eastAsia" w:ascii="楷体" w:hAnsi="楷体" w:eastAsia="楷体" w:cs="Calibri"/>
          <w:b/>
          <w:sz w:val="21"/>
          <w:szCs w:val="21"/>
          <w:highlight w:val="none"/>
          <w:u w:val="single"/>
        </w:rPr>
      </w:pPr>
      <w:r>
        <w:rPr>
          <w:rFonts w:hint="eastAsia" w:ascii="楷体" w:hAnsi="楷体" w:eastAsia="楷体" w:cs="Calibri"/>
          <w:b/>
          <w:sz w:val="21"/>
          <w:szCs w:val="21"/>
          <w:highlight w:val="none"/>
          <w:u w:val="single"/>
        </w:rPr>
        <w:t>以下示例均为假设情况，不代表本产品实际投资业绩。</w:t>
      </w:r>
    </w:p>
    <w:p>
      <w:pPr>
        <w:keepNext w:val="0"/>
        <w:keepLines w:val="0"/>
        <w:pageBreakBefore w:val="0"/>
        <w:widowControl w:val="0"/>
        <w:numPr>
          <w:ilvl w:val="0"/>
          <w:numId w:val="13"/>
        </w:numPr>
        <w:tabs>
          <w:tab w:val="left" w:pos="728"/>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sz w:val="21"/>
          <w:szCs w:val="21"/>
          <w:highlight w:val="none"/>
        </w:rPr>
      </w:pPr>
      <w:r>
        <w:rPr>
          <w:rFonts w:hint="eastAsia" w:ascii="楷体" w:hAnsi="楷体" w:eastAsia="楷体" w:cs="Calibri"/>
          <w:sz w:val="21"/>
          <w:szCs w:val="21"/>
          <w:highlight w:val="none"/>
        </w:rPr>
        <w:t>情景一</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lang w:val="en-US" w:eastAsia="zh-CN"/>
        </w:rPr>
      </w:pPr>
      <w:r>
        <w:rPr>
          <w:rFonts w:ascii="楷体" w:hAnsi="楷体" w:eastAsia="楷体"/>
          <w:sz w:val="21"/>
          <w:szCs w:val="21"/>
          <w:highlight w:val="none"/>
        </w:rPr>
        <w:t>假定投资者</w:t>
      </w:r>
      <w:r>
        <w:rPr>
          <w:rFonts w:hint="eastAsia" w:ascii="楷体" w:hAnsi="楷体" w:eastAsia="楷体"/>
          <w:sz w:val="21"/>
          <w:szCs w:val="21"/>
          <w:highlight w:val="none"/>
        </w:rPr>
        <w:t>申购1</w:t>
      </w:r>
      <w:r>
        <w:rPr>
          <w:rFonts w:ascii="楷体" w:hAnsi="楷体" w:eastAsia="楷体"/>
          <w:sz w:val="21"/>
          <w:szCs w:val="21"/>
          <w:highlight w:val="none"/>
        </w:rPr>
        <w:t>0000元</w:t>
      </w:r>
      <w:r>
        <w:rPr>
          <w:rFonts w:hint="eastAsia" w:ascii="楷体" w:hAnsi="楷体" w:eastAsia="楷体"/>
          <w:sz w:val="21"/>
          <w:szCs w:val="21"/>
          <w:highlight w:val="none"/>
          <w:lang w:val="en-US" w:eastAsia="zh-CN"/>
        </w:rPr>
        <w:t>本产品</w:t>
      </w:r>
      <w:r>
        <w:rPr>
          <w:rFonts w:ascii="楷体" w:hAnsi="楷体" w:eastAsia="楷体"/>
          <w:sz w:val="21"/>
          <w:szCs w:val="21"/>
          <w:highlight w:val="none"/>
        </w:rPr>
        <w:t>，</w:t>
      </w:r>
      <w:r>
        <w:rPr>
          <w:rFonts w:hint="eastAsia" w:ascii="楷体" w:hAnsi="楷体" w:eastAsia="楷体"/>
          <w:sz w:val="21"/>
          <w:szCs w:val="21"/>
          <w:highlight w:val="none"/>
        </w:rPr>
        <w:t>对应</w:t>
      </w:r>
      <w:r>
        <w:rPr>
          <w:rFonts w:hint="eastAsia" w:ascii="楷体" w:hAnsi="楷体" w:eastAsia="楷体"/>
          <w:sz w:val="21"/>
          <w:szCs w:val="21"/>
          <w:highlight w:val="none"/>
          <w:lang w:val="en-US" w:eastAsia="zh-CN"/>
        </w:rPr>
        <w:t>开放日</w:t>
      </w:r>
      <w:r>
        <w:rPr>
          <w:rFonts w:hint="eastAsia" w:ascii="楷体" w:hAnsi="楷体" w:eastAsia="楷体"/>
          <w:sz w:val="21"/>
          <w:szCs w:val="21"/>
          <w:highlight w:val="none"/>
        </w:rPr>
        <w:t>产品单位净值</w:t>
      </w:r>
      <w:r>
        <w:rPr>
          <w:rFonts w:ascii="楷体" w:hAnsi="楷体" w:eastAsia="楷体"/>
          <w:sz w:val="21"/>
          <w:szCs w:val="21"/>
          <w:highlight w:val="none"/>
        </w:rPr>
        <w:t>为1.</w:t>
      </w:r>
      <w:r>
        <w:rPr>
          <w:rFonts w:hint="eastAsia" w:ascii="楷体" w:hAnsi="楷体" w:eastAsia="楷体"/>
          <w:sz w:val="21"/>
          <w:szCs w:val="21"/>
          <w:highlight w:val="none"/>
        </w:rPr>
        <w:t>08</w:t>
      </w:r>
      <w:r>
        <w:rPr>
          <w:rFonts w:ascii="楷体" w:hAnsi="楷体" w:eastAsia="楷体"/>
          <w:sz w:val="21"/>
          <w:szCs w:val="21"/>
          <w:highlight w:val="none"/>
        </w:rPr>
        <w:t>0334，</w:t>
      </w:r>
      <w:r>
        <w:rPr>
          <w:rFonts w:hint="eastAsia" w:ascii="楷体" w:hAnsi="楷体" w:eastAsia="楷体"/>
          <w:sz w:val="21"/>
          <w:szCs w:val="21"/>
          <w:highlight w:val="none"/>
        </w:rPr>
        <w:t>投资者申购确认份额为9256.40份</w:t>
      </w:r>
      <w:r>
        <w:rPr>
          <w:rFonts w:hint="eastAsia" w:ascii="楷体" w:hAnsi="楷体" w:eastAsia="楷体"/>
          <w:sz w:val="21"/>
          <w:szCs w:val="21"/>
          <w:highlight w:val="none"/>
          <w:lang w:eastAsia="zh-CN"/>
        </w:rPr>
        <w:t>。</w:t>
      </w:r>
      <w:r>
        <w:rPr>
          <w:rFonts w:hint="eastAsia" w:ascii="楷体" w:hAnsi="楷体" w:eastAsia="楷体"/>
          <w:sz w:val="21"/>
          <w:szCs w:val="21"/>
          <w:highlight w:val="none"/>
          <w:lang w:val="en-US" w:eastAsia="zh-CN"/>
        </w:rPr>
        <w:t>持有超过最低持有天数后某个开放日</w:t>
      </w:r>
      <w:r>
        <w:rPr>
          <w:rFonts w:hint="eastAsia" w:ascii="楷体" w:hAnsi="楷体" w:eastAsia="楷体"/>
          <w:sz w:val="21"/>
          <w:szCs w:val="21"/>
          <w:highlight w:val="none"/>
        </w:rPr>
        <w:t>投资者提交赎回申请，赎回其所持有</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本产品全部份额，对应</w:t>
      </w:r>
      <w:r>
        <w:rPr>
          <w:rFonts w:hint="eastAsia" w:ascii="楷体" w:hAnsi="楷体" w:eastAsia="楷体"/>
          <w:sz w:val="21"/>
          <w:szCs w:val="21"/>
          <w:highlight w:val="none"/>
          <w:lang w:val="en-US" w:eastAsia="zh-CN"/>
        </w:rPr>
        <w:t>开放日</w:t>
      </w:r>
      <w:r>
        <w:rPr>
          <w:rFonts w:hint="eastAsia" w:ascii="楷体" w:hAnsi="楷体" w:eastAsia="楷体"/>
          <w:sz w:val="21"/>
          <w:szCs w:val="21"/>
          <w:highlight w:val="none"/>
        </w:rPr>
        <w:t>产品单位净值为1.090221</w:t>
      </w:r>
      <w:r>
        <w:rPr>
          <w:rFonts w:hint="eastAsia" w:ascii="楷体" w:hAnsi="楷体" w:eastAsia="楷体"/>
          <w:sz w:val="21"/>
          <w:szCs w:val="21"/>
          <w:highlight w:val="none"/>
          <w:lang w:eastAsia="zh-CN"/>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投资者申购确认份额=1</w:t>
      </w:r>
      <w:r>
        <w:rPr>
          <w:rFonts w:ascii="楷体" w:hAnsi="楷体" w:eastAsia="楷体"/>
          <w:sz w:val="21"/>
          <w:szCs w:val="21"/>
          <w:highlight w:val="none"/>
        </w:rPr>
        <w:t>0000</w:t>
      </w:r>
      <w:r>
        <w:rPr>
          <w:rFonts w:hint="eastAsia" w:ascii="楷体" w:hAnsi="楷体" w:eastAsia="楷体"/>
          <w:sz w:val="21"/>
          <w:szCs w:val="21"/>
          <w:highlight w:val="none"/>
        </w:rPr>
        <w:t>/</w:t>
      </w:r>
      <w:r>
        <w:rPr>
          <w:rFonts w:ascii="楷体" w:hAnsi="楷体" w:eastAsia="楷体"/>
          <w:sz w:val="21"/>
          <w:szCs w:val="21"/>
          <w:highlight w:val="none"/>
        </w:rPr>
        <w:t>1.</w:t>
      </w:r>
      <w:r>
        <w:rPr>
          <w:rFonts w:hint="eastAsia" w:ascii="楷体" w:hAnsi="楷体" w:eastAsia="楷体"/>
          <w:sz w:val="21"/>
          <w:szCs w:val="21"/>
          <w:highlight w:val="none"/>
        </w:rPr>
        <w:t>08</w:t>
      </w:r>
      <w:r>
        <w:rPr>
          <w:rFonts w:ascii="楷体" w:hAnsi="楷体" w:eastAsia="楷体"/>
          <w:sz w:val="21"/>
          <w:szCs w:val="21"/>
          <w:highlight w:val="none"/>
        </w:rPr>
        <w:t>0334</w:t>
      </w:r>
      <w:r>
        <w:rPr>
          <w:rFonts w:hint="eastAsia" w:ascii="楷体" w:hAnsi="楷体" w:eastAsia="楷体"/>
          <w:sz w:val="21"/>
          <w:szCs w:val="21"/>
          <w:highlight w:val="none"/>
        </w:rPr>
        <w:t>=9256.40份</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投资者赎回兑付金额=9256.40</w:t>
      </w:r>
      <w:r>
        <w:rPr>
          <w:rFonts w:ascii="楷体" w:hAnsi="楷体" w:eastAsia="楷体"/>
          <w:sz w:val="21"/>
          <w:szCs w:val="21"/>
          <w:highlight w:val="none"/>
        </w:rPr>
        <w:t>×</w:t>
      </w:r>
      <w:r>
        <w:rPr>
          <w:rFonts w:hint="eastAsia" w:ascii="楷体" w:hAnsi="楷体" w:eastAsia="楷体"/>
          <w:sz w:val="21"/>
          <w:szCs w:val="21"/>
          <w:highlight w:val="none"/>
        </w:rPr>
        <w:t>1.090221=10091.52元</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w:t>
      </w:r>
      <w:r>
        <w:rPr>
          <w:rFonts w:ascii="楷体" w:hAnsi="楷体" w:eastAsia="楷体"/>
          <w:sz w:val="21"/>
          <w:szCs w:val="21"/>
          <w:highlight w:val="none"/>
        </w:rPr>
        <w:t>投资收益金额=</w:t>
      </w:r>
      <w:r>
        <w:rPr>
          <w:rFonts w:hint="eastAsia" w:ascii="楷体" w:hAnsi="楷体" w:eastAsia="楷体"/>
          <w:sz w:val="21"/>
          <w:szCs w:val="21"/>
          <w:highlight w:val="none"/>
        </w:rPr>
        <w:t>10091.52</w:t>
      </w:r>
      <w:r>
        <w:rPr>
          <w:rFonts w:ascii="楷体" w:hAnsi="楷体" w:eastAsia="楷体"/>
          <w:sz w:val="21"/>
          <w:szCs w:val="21"/>
          <w:highlight w:val="none"/>
        </w:rPr>
        <w:t>-</w:t>
      </w:r>
      <w:r>
        <w:rPr>
          <w:rFonts w:hint="eastAsia" w:ascii="楷体" w:hAnsi="楷体" w:eastAsia="楷体"/>
          <w:sz w:val="21"/>
          <w:szCs w:val="21"/>
          <w:highlight w:val="none"/>
        </w:rPr>
        <w:t>10000=91.52元</w:t>
      </w:r>
    </w:p>
    <w:p>
      <w:pPr>
        <w:keepNext w:val="0"/>
        <w:keepLines w:val="0"/>
        <w:pageBreakBefore w:val="0"/>
        <w:widowControl w:val="0"/>
        <w:numPr>
          <w:ilvl w:val="0"/>
          <w:numId w:val="13"/>
        </w:numPr>
        <w:tabs>
          <w:tab w:val="left" w:pos="728"/>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sz w:val="21"/>
          <w:szCs w:val="21"/>
          <w:highlight w:val="none"/>
        </w:rPr>
      </w:pPr>
      <w:r>
        <w:rPr>
          <w:rFonts w:hint="eastAsia" w:ascii="楷体" w:hAnsi="楷体" w:eastAsia="楷体" w:cs="Calibri"/>
          <w:sz w:val="21"/>
          <w:szCs w:val="21"/>
          <w:highlight w:val="none"/>
        </w:rPr>
        <w:t>情景二</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rPr>
        <w:t>假定投资者申购10000元</w:t>
      </w:r>
      <w:r>
        <w:rPr>
          <w:rFonts w:hint="eastAsia" w:ascii="楷体" w:hAnsi="楷体" w:eastAsia="楷体"/>
          <w:sz w:val="21"/>
          <w:szCs w:val="21"/>
          <w:highlight w:val="none"/>
          <w:lang w:val="en-US" w:eastAsia="zh-CN"/>
        </w:rPr>
        <w:t>本产品</w:t>
      </w:r>
      <w:r>
        <w:rPr>
          <w:rFonts w:hint="eastAsia" w:ascii="楷体" w:hAnsi="楷体" w:eastAsia="楷体"/>
          <w:sz w:val="21"/>
          <w:szCs w:val="21"/>
          <w:highlight w:val="none"/>
        </w:rPr>
        <w:t>，对应</w:t>
      </w:r>
      <w:r>
        <w:rPr>
          <w:rFonts w:hint="eastAsia" w:ascii="楷体" w:hAnsi="楷体" w:eastAsia="楷体"/>
          <w:sz w:val="21"/>
          <w:szCs w:val="21"/>
          <w:highlight w:val="none"/>
          <w:lang w:val="en-US" w:eastAsia="zh-CN"/>
        </w:rPr>
        <w:t>开放日</w:t>
      </w:r>
      <w:r>
        <w:rPr>
          <w:rFonts w:hint="eastAsia" w:ascii="楷体" w:hAnsi="楷体" w:eastAsia="楷体"/>
          <w:sz w:val="21"/>
          <w:szCs w:val="21"/>
          <w:highlight w:val="none"/>
        </w:rPr>
        <w:t>产品单位净值为1.080334，投资者申购确认份额为9256.40份</w:t>
      </w:r>
      <w:r>
        <w:rPr>
          <w:rFonts w:hint="eastAsia" w:ascii="楷体" w:hAnsi="楷体" w:eastAsia="楷体"/>
          <w:sz w:val="21"/>
          <w:szCs w:val="21"/>
          <w:highlight w:val="none"/>
          <w:lang w:eastAsia="zh-CN"/>
        </w:rPr>
        <w:t>。</w:t>
      </w:r>
      <w:r>
        <w:rPr>
          <w:rFonts w:hint="eastAsia" w:ascii="楷体" w:hAnsi="楷体" w:eastAsia="楷体"/>
          <w:sz w:val="21"/>
          <w:szCs w:val="21"/>
          <w:highlight w:val="none"/>
          <w:lang w:val="en-US" w:eastAsia="zh-CN"/>
        </w:rPr>
        <w:t>持有超过最低持有天数后某个开放日</w:t>
      </w:r>
      <w:r>
        <w:rPr>
          <w:rFonts w:hint="eastAsia" w:ascii="楷体" w:hAnsi="楷体" w:eastAsia="楷体"/>
          <w:sz w:val="21"/>
          <w:szCs w:val="21"/>
          <w:highlight w:val="none"/>
        </w:rPr>
        <w:t>投资者提交赎回申请，赎回其所持有</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本产品全部份额，对应</w:t>
      </w:r>
      <w:r>
        <w:rPr>
          <w:rFonts w:hint="eastAsia" w:ascii="楷体" w:hAnsi="楷体" w:eastAsia="楷体"/>
          <w:sz w:val="21"/>
          <w:szCs w:val="21"/>
          <w:highlight w:val="none"/>
          <w:lang w:val="en-US" w:eastAsia="zh-CN"/>
        </w:rPr>
        <w:t>开放日</w:t>
      </w:r>
      <w:r>
        <w:rPr>
          <w:rFonts w:hint="eastAsia" w:ascii="楷体" w:hAnsi="楷体" w:eastAsia="楷体"/>
          <w:sz w:val="21"/>
          <w:szCs w:val="21"/>
          <w:highlight w:val="none"/>
        </w:rPr>
        <w:t>产品单位净值为1.074231</w:t>
      </w:r>
      <w:r>
        <w:rPr>
          <w:rFonts w:hint="eastAsia" w:ascii="楷体" w:hAnsi="楷体" w:eastAsia="楷体"/>
          <w:sz w:val="21"/>
          <w:szCs w:val="21"/>
          <w:highlight w:val="none"/>
          <w:lang w:eastAsia="zh-CN"/>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投资者申购确认份额=1</w:t>
      </w:r>
      <w:r>
        <w:rPr>
          <w:rFonts w:ascii="楷体" w:hAnsi="楷体" w:eastAsia="楷体"/>
          <w:sz w:val="21"/>
          <w:szCs w:val="21"/>
          <w:highlight w:val="none"/>
        </w:rPr>
        <w:t>0000</w:t>
      </w:r>
      <w:r>
        <w:rPr>
          <w:rFonts w:hint="eastAsia" w:ascii="楷体" w:hAnsi="楷体" w:eastAsia="楷体"/>
          <w:sz w:val="21"/>
          <w:szCs w:val="21"/>
          <w:highlight w:val="none"/>
        </w:rPr>
        <w:t>/</w:t>
      </w:r>
      <w:r>
        <w:rPr>
          <w:rFonts w:ascii="楷体" w:hAnsi="楷体" w:eastAsia="楷体"/>
          <w:sz w:val="21"/>
          <w:szCs w:val="21"/>
          <w:highlight w:val="none"/>
        </w:rPr>
        <w:t>1.</w:t>
      </w:r>
      <w:r>
        <w:rPr>
          <w:rFonts w:hint="eastAsia" w:ascii="楷体" w:hAnsi="楷体" w:eastAsia="楷体"/>
          <w:sz w:val="21"/>
          <w:szCs w:val="21"/>
          <w:highlight w:val="none"/>
        </w:rPr>
        <w:t>08</w:t>
      </w:r>
      <w:r>
        <w:rPr>
          <w:rFonts w:ascii="楷体" w:hAnsi="楷体" w:eastAsia="楷体"/>
          <w:sz w:val="21"/>
          <w:szCs w:val="21"/>
          <w:highlight w:val="none"/>
        </w:rPr>
        <w:t>0334</w:t>
      </w:r>
      <w:r>
        <w:rPr>
          <w:rFonts w:hint="eastAsia" w:ascii="楷体" w:hAnsi="楷体" w:eastAsia="楷体"/>
          <w:sz w:val="21"/>
          <w:szCs w:val="21"/>
          <w:highlight w:val="none"/>
        </w:rPr>
        <w:t>=9256.40份</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投资者赎回兑付金额=9256.40×1.074231=9943.51元</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highlight w:val="none"/>
        </w:rPr>
      </w:pPr>
      <w:r>
        <w:rPr>
          <w:rFonts w:hint="eastAsia" w:ascii="楷体" w:hAnsi="楷体" w:eastAsia="楷体"/>
          <w:sz w:val="21"/>
          <w:szCs w:val="21"/>
          <w:highlight w:val="none"/>
        </w:rPr>
        <w:t>投资者投资收益金额=9943.51-10000=-56.49元</w:t>
      </w:r>
    </w:p>
    <w:p>
      <w:pPr>
        <w:keepNext w:val="0"/>
        <w:keepLines w:val="0"/>
        <w:pageBreakBefore w:val="0"/>
        <w:wordWrap/>
        <w:topLinePunct w:val="0"/>
        <w:autoSpaceDE/>
        <w:autoSpaceDN/>
        <w:bidi w:val="0"/>
        <w:ind w:firstLine="369" w:firstLineChars="176"/>
        <w:textAlignment w:val="auto"/>
        <w:rPr>
          <w:rFonts w:hint="eastAsia" w:ascii="楷体" w:hAnsi="楷体" w:eastAsia="楷体" w:cs="Calibri"/>
          <w:sz w:val="21"/>
          <w:szCs w:val="21"/>
          <w:highlight w:val="none"/>
        </w:rPr>
      </w:pPr>
      <w:r>
        <w:rPr>
          <w:rFonts w:hint="eastAsia" w:ascii="楷体" w:hAnsi="楷体" w:eastAsia="楷体"/>
          <w:sz w:val="21"/>
          <w:szCs w:val="21"/>
          <w:highlight w:val="none"/>
        </w:rPr>
        <w:t>投资者投资本理财产品实际亏损56.49元，</w:t>
      </w:r>
      <w:r>
        <w:rPr>
          <w:rFonts w:hint="eastAsia" w:ascii="楷体" w:hAnsi="楷体" w:eastAsia="楷体"/>
          <w:b/>
          <w:sz w:val="21"/>
          <w:szCs w:val="21"/>
          <w:highlight w:val="none"/>
          <w:u w:val="single"/>
        </w:rPr>
        <w:t>最不利的情形下，投资者可能损失100%本金。</w:t>
      </w:r>
    </w:p>
    <w:p>
      <w:pPr>
        <w:keepNext w:val="0"/>
        <w:keepLines w:val="0"/>
        <w:pageBreakBefore w:val="0"/>
        <w:wordWrap/>
        <w:topLinePunct w:val="0"/>
        <w:autoSpaceDE/>
        <w:autoSpaceDN/>
        <w:bidi w:val="0"/>
        <w:ind w:firstLine="373" w:firstLineChars="177"/>
        <w:textAlignment w:val="auto"/>
        <w:rPr>
          <w:rFonts w:hint="eastAsia" w:ascii="楷体" w:hAnsi="楷体" w:eastAsia="楷体"/>
          <w:sz w:val="21"/>
          <w:szCs w:val="21"/>
          <w:highlight w:val="none"/>
        </w:rPr>
      </w:pPr>
      <w:r>
        <w:rPr>
          <w:rFonts w:hint="eastAsia" w:ascii="楷体" w:hAnsi="楷体" w:eastAsia="楷体"/>
          <w:b/>
          <w:sz w:val="21"/>
          <w:szCs w:val="21"/>
          <w:highlight w:val="none"/>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产品费用</w:t>
      </w:r>
    </w:p>
    <w:p>
      <w:pPr>
        <w:keepNext w:val="0"/>
        <w:keepLines w:val="0"/>
        <w:pageBreakBefore w:val="0"/>
        <w:numPr>
          <w:ilvl w:val="0"/>
          <w:numId w:val="0"/>
        </w:numPr>
        <w:wordWrap/>
        <w:topLinePunct w:val="0"/>
        <w:autoSpaceDE/>
        <w:autoSpaceDN/>
        <w:bidi w:val="0"/>
        <w:ind w:left="0" w:firstLine="420" w:firstLineChars="200"/>
        <w:textAlignment w:val="auto"/>
        <w:rPr>
          <w:rFonts w:hint="default" w:ascii="楷体" w:hAnsi="楷体" w:eastAsia="楷体" w:cs="Calibri"/>
          <w:color w:val="auto"/>
          <w:sz w:val="21"/>
          <w:szCs w:val="21"/>
          <w:highlight w:val="none"/>
        </w:rPr>
      </w:pPr>
      <w:r>
        <w:rPr>
          <w:rFonts w:hint="eastAsia" w:ascii="楷体" w:hAnsi="楷体" w:eastAsia="楷体"/>
          <w:color w:val="auto"/>
          <w:sz w:val="21"/>
          <w:szCs w:val="21"/>
          <w:highlight w:val="none"/>
        </w:rPr>
        <w:t>本产品费用包括托管费、销售服务费、投资管理费、超额业绩报酬（如有）以及产品运作和清算中产生的其他费用等。</w:t>
      </w:r>
      <w:r>
        <w:rPr>
          <w:rFonts w:hint="eastAsia" w:ascii="楷体" w:hAnsi="楷体" w:eastAsia="楷体" w:cs="Calibri"/>
          <w:color w:val="auto"/>
          <w:sz w:val="21"/>
          <w:szCs w:val="21"/>
          <w:highlight w:val="none"/>
        </w:rPr>
        <w:t>计提方法</w:t>
      </w:r>
      <w:r>
        <w:rPr>
          <w:rFonts w:hint="eastAsia" w:ascii="楷体" w:hAnsi="楷体" w:eastAsia="楷体" w:cs="Calibri"/>
          <w:color w:val="auto"/>
          <w:sz w:val="21"/>
          <w:szCs w:val="21"/>
          <w:highlight w:val="none"/>
          <w:lang w:val="en-US" w:eastAsia="zh-CN"/>
        </w:rPr>
        <w:t>如下:</w:t>
      </w:r>
    </w:p>
    <w:p>
      <w:pPr>
        <w:keepNext w:val="0"/>
        <w:keepLines w:val="0"/>
        <w:pageBreakBefore w:val="0"/>
        <w:widowControl w:val="0"/>
        <w:numPr>
          <w:ilvl w:val="0"/>
          <w:numId w:val="1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rPr>
      </w:pPr>
      <w:r>
        <w:rPr>
          <w:rFonts w:hint="eastAsia" w:ascii="楷体" w:hAnsi="楷体" w:eastAsia="楷体" w:cs="Calibri"/>
          <w:color w:val="auto"/>
          <w:sz w:val="21"/>
          <w:szCs w:val="21"/>
          <w:highlight w:val="none"/>
        </w:rPr>
        <w:t>托管费：每日计提，</w:t>
      </w:r>
      <w:r>
        <w:rPr>
          <w:rFonts w:hint="eastAsia" w:ascii="楷体" w:hAnsi="楷体" w:eastAsia="楷体"/>
          <w:sz w:val="21"/>
          <w:szCs w:val="21"/>
          <w:highlight w:val="none"/>
        </w:rPr>
        <w:t>每日应计提的托管费＝前一日的产品资产净值×托管费率÷</w:t>
      </w:r>
      <w:r>
        <w:rPr>
          <w:rFonts w:ascii="楷体" w:hAnsi="楷体" w:eastAsia="楷体"/>
          <w:sz w:val="21"/>
          <w:szCs w:val="21"/>
          <w:highlight w:val="none"/>
        </w:rPr>
        <w:t>365</w:t>
      </w:r>
      <w:r>
        <w:rPr>
          <w:rFonts w:hint="eastAsia" w:ascii="楷体" w:hAnsi="楷体" w:eastAsia="楷体"/>
          <w:sz w:val="21"/>
          <w:szCs w:val="21"/>
          <w:highlight w:val="none"/>
          <w:lang w:eastAsia="zh-CN"/>
        </w:rPr>
        <w:t>。</w:t>
      </w:r>
    </w:p>
    <w:p>
      <w:pPr>
        <w:keepNext w:val="0"/>
        <w:keepLines w:val="0"/>
        <w:pageBreakBefore w:val="0"/>
        <w:widowControl w:val="0"/>
        <w:numPr>
          <w:ilvl w:val="0"/>
          <w:numId w:val="1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sz w:val="21"/>
          <w:szCs w:val="21"/>
          <w:highlight w:val="none"/>
        </w:rPr>
      </w:pPr>
      <w:r>
        <w:rPr>
          <w:rFonts w:hint="eastAsia" w:ascii="楷体" w:hAnsi="楷体" w:eastAsia="楷体" w:cs="Calibri"/>
          <w:color w:val="auto"/>
          <w:sz w:val="21"/>
          <w:szCs w:val="21"/>
          <w:highlight w:val="none"/>
        </w:rPr>
        <w:t>销售服务费：每日计提</w:t>
      </w:r>
      <w:r>
        <w:rPr>
          <w:rFonts w:hint="eastAsia" w:ascii="楷体" w:hAnsi="楷体" w:eastAsia="楷体" w:cs="Calibri"/>
          <w:color w:val="auto"/>
          <w:sz w:val="21"/>
          <w:szCs w:val="21"/>
          <w:highlight w:val="none"/>
          <w:lang w:eastAsia="zh-CN"/>
        </w:rPr>
        <w:t>，</w:t>
      </w:r>
      <w:r>
        <w:rPr>
          <w:rFonts w:hint="eastAsia" w:ascii="楷体" w:hAnsi="楷体" w:eastAsia="楷体"/>
          <w:sz w:val="21"/>
          <w:szCs w:val="21"/>
          <w:highlight w:val="none"/>
        </w:rPr>
        <w:t>每日应计提的销售服务费＝前一日的产品资产净值×销售服务费率÷</w:t>
      </w:r>
      <w:r>
        <w:rPr>
          <w:rFonts w:ascii="楷体" w:hAnsi="楷体" w:eastAsia="楷体"/>
          <w:sz w:val="21"/>
          <w:szCs w:val="21"/>
          <w:highlight w:val="none"/>
        </w:rPr>
        <w:t>365</w:t>
      </w:r>
      <w:r>
        <w:rPr>
          <w:rFonts w:hint="eastAsia" w:ascii="楷体" w:hAnsi="楷体" w:eastAsia="楷体"/>
          <w:sz w:val="21"/>
          <w:szCs w:val="21"/>
          <w:highlight w:val="none"/>
          <w:lang w:eastAsia="zh-CN"/>
        </w:rPr>
        <w:t>。</w:t>
      </w:r>
    </w:p>
    <w:p>
      <w:pPr>
        <w:keepNext w:val="0"/>
        <w:keepLines w:val="0"/>
        <w:pageBreakBefore w:val="0"/>
        <w:widowControl w:val="0"/>
        <w:numPr>
          <w:ilvl w:val="0"/>
          <w:numId w:val="1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投资管理费：每日计提，每日应计提的投资管理费＝前一日的产品资产净值×投资管理费率÷365</w:t>
      </w:r>
      <w:r>
        <w:rPr>
          <w:rFonts w:hint="eastAsia" w:ascii="楷体" w:hAnsi="楷体" w:eastAsia="楷体" w:cs="Calibri"/>
          <w:color w:val="auto"/>
          <w:sz w:val="21"/>
          <w:szCs w:val="21"/>
          <w:highlight w:val="none"/>
          <w:lang w:eastAsia="zh-CN"/>
        </w:rPr>
        <w:t>。</w:t>
      </w:r>
    </w:p>
    <w:p>
      <w:pPr>
        <w:keepNext w:val="0"/>
        <w:keepLines w:val="0"/>
        <w:pageBreakBefore w:val="0"/>
        <w:widowControl w:val="0"/>
        <w:numPr>
          <w:ilvl w:val="0"/>
          <w:numId w:val="1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超额业绩报酬</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lang w:val="en-US" w:eastAsia="zh-CN"/>
        </w:rPr>
        <w:t>如有）</w:t>
      </w:r>
      <w:r>
        <w:rPr>
          <w:rFonts w:hint="eastAsia" w:ascii="楷体" w:hAnsi="楷体" w:eastAsia="楷体" w:cs="Calibri"/>
          <w:color w:val="auto"/>
          <w:sz w:val="21"/>
          <w:szCs w:val="21"/>
          <w:highlight w:val="none"/>
        </w:rPr>
        <w:t>：</w:t>
      </w:r>
      <w:r>
        <w:rPr>
          <w:rFonts w:hint="eastAsia" w:ascii="楷体" w:hAnsi="楷体" w:eastAsia="楷体" w:cs="Calibri"/>
          <w:color w:val="auto"/>
          <w:sz w:val="21"/>
          <w:szCs w:val="21"/>
          <w:highlight w:val="none"/>
          <w:lang w:val="en-US" w:eastAsia="zh-CN"/>
        </w:rPr>
        <w:t>无。</w:t>
      </w:r>
    </w:p>
    <w:p>
      <w:pPr>
        <w:keepNext w:val="0"/>
        <w:keepLines w:val="0"/>
        <w:pageBreakBefore w:val="0"/>
        <w:widowControl w:val="0"/>
        <w:numPr>
          <w:ilvl w:val="0"/>
          <w:numId w:val="1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产品运作和清算中产生的交易手续费、注册登记费、账户服务费、审计费及其他应由本产品承担的费用从产品中列支。</w:t>
      </w:r>
    </w:p>
    <w:p>
      <w:pPr>
        <w:keepNext w:val="0"/>
        <w:keepLines w:val="0"/>
        <w:pageBreakBefore w:val="0"/>
        <w:widowControl w:val="0"/>
        <w:numPr>
          <w:ilvl w:val="0"/>
          <w:numId w:val="1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本产品不收取认购费用、申购费用、赎回费用。</w:t>
      </w:r>
    </w:p>
    <w:p>
      <w:pPr>
        <w:keepNext w:val="0"/>
        <w:keepLines w:val="0"/>
        <w:pageBreakBefore w:val="0"/>
        <w:widowControl w:val="0"/>
        <w:numPr>
          <w:ilvl w:val="0"/>
          <w:numId w:val="1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lang w:val="en-US" w:eastAsia="zh-CN"/>
        </w:rPr>
        <w:t>费用计算</w:t>
      </w:r>
      <w:r>
        <w:rPr>
          <w:rFonts w:hint="eastAsia" w:ascii="楷体" w:hAnsi="楷体" w:eastAsia="楷体" w:cs="楷体"/>
          <w:color w:val="auto"/>
          <w:sz w:val="21"/>
          <w:szCs w:val="21"/>
          <w:highlight w:val="none"/>
        </w:rPr>
        <w:t>四舍五入保留至小数点后两位</w:t>
      </w:r>
      <w:r>
        <w:rPr>
          <w:rFonts w:hint="eastAsia" w:ascii="楷体" w:hAnsi="楷体" w:eastAsia="楷体" w:cs="楷体"/>
          <w:color w:val="auto"/>
          <w:sz w:val="21"/>
          <w:szCs w:val="21"/>
          <w:highlight w:val="none"/>
          <w:lang w:eastAsia="zh-CN"/>
        </w:rPr>
        <w:t>。</w:t>
      </w:r>
    </w:p>
    <w:p>
      <w:pPr>
        <w:keepNext w:val="0"/>
        <w:keepLines w:val="0"/>
        <w:pageBreakBefore w:val="0"/>
        <w:wordWrap/>
        <w:topLinePunct w:val="0"/>
        <w:autoSpaceDE/>
        <w:autoSpaceDN/>
        <w:bidi w:val="0"/>
        <w:ind w:firstLine="420" w:firstLineChars="200"/>
        <w:textAlignment w:val="auto"/>
        <w:rPr>
          <w:rFonts w:hint="eastAsia"/>
          <w:highlight w:val="none"/>
        </w:rPr>
      </w:pPr>
      <w:r>
        <w:rPr>
          <w:rFonts w:hint="eastAsia" w:ascii="楷体" w:hAnsi="楷体" w:eastAsia="楷体" w:cs="楷体"/>
          <w:sz w:val="21"/>
          <w:szCs w:val="21"/>
          <w:highlight w:val="none"/>
        </w:rPr>
        <w:t>产品管理人有权根据市场情况等</w:t>
      </w:r>
      <w:r>
        <w:rPr>
          <w:rFonts w:hint="eastAsia" w:ascii="楷体" w:hAnsi="楷体" w:eastAsia="楷体" w:cs="楷体"/>
          <w:sz w:val="21"/>
          <w:szCs w:val="21"/>
          <w:highlight w:val="none"/>
          <w:lang w:val="en-US" w:eastAsia="zh-CN"/>
        </w:rPr>
        <w:t>因素</w:t>
      </w:r>
      <w:r>
        <w:rPr>
          <w:rFonts w:hint="eastAsia" w:ascii="楷体" w:hAnsi="楷体" w:eastAsia="楷体" w:cs="楷体"/>
          <w:sz w:val="21"/>
          <w:szCs w:val="21"/>
          <w:highlight w:val="none"/>
        </w:rPr>
        <w:t>调整上述各项费用费率和超额业绩报酬收取方式及比例，</w:t>
      </w:r>
      <w:r>
        <w:rPr>
          <w:rFonts w:hint="eastAsia" w:ascii="楷体" w:hAnsi="楷体" w:eastAsia="楷体" w:cs="Times New Roman"/>
          <w:color w:val="auto"/>
          <w:kern w:val="2"/>
          <w:sz w:val="21"/>
          <w:szCs w:val="21"/>
          <w:highlight w:val="none"/>
          <w:lang w:val="en-US" w:eastAsia="zh-CN" w:bidi="ar-SA"/>
        </w:rPr>
        <w:t>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若本理财产品投资者未在约定的时间内赎回本产品，则视为本理财产品投资者接受相关调整且同意继续持有本理财产品。</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产品估值</w:t>
      </w:r>
    </w:p>
    <w:p>
      <w:pPr>
        <w:keepNext w:val="0"/>
        <w:keepLines w:val="0"/>
        <w:pageBreakBefore w:val="0"/>
        <w:widowControl w:val="0"/>
        <w:numPr>
          <w:ilvl w:val="0"/>
          <w:numId w:val="15"/>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估值对象</w:t>
      </w:r>
    </w:p>
    <w:p>
      <w:pPr>
        <w:keepNext w:val="0"/>
        <w:keepLines w:val="0"/>
        <w:pageBreakBefore w:val="0"/>
        <w:wordWrap/>
        <w:topLinePunct w:val="0"/>
        <w:autoSpaceDE/>
        <w:autoSpaceDN/>
        <w:bidi w:val="0"/>
        <w:ind w:firstLine="420" w:firstLineChars="200"/>
        <w:textAlignment w:val="auto"/>
        <w:rPr>
          <w:rFonts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本产品所拥有的各类证券、银行存款、应收款项及其它资产及负债。</w:t>
      </w:r>
    </w:p>
    <w:p>
      <w:pPr>
        <w:keepNext w:val="0"/>
        <w:keepLines w:val="0"/>
        <w:pageBreakBefore w:val="0"/>
        <w:widowControl w:val="0"/>
        <w:numPr>
          <w:ilvl w:val="0"/>
          <w:numId w:val="15"/>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估值要求</w:t>
      </w:r>
    </w:p>
    <w:p>
      <w:pPr>
        <w:keepNext w:val="0"/>
        <w:keepLines w:val="0"/>
        <w:pageBreakBefore w:val="0"/>
        <w:widowControl w:val="0"/>
        <w:numPr>
          <w:ilvl w:val="0"/>
          <w:numId w:val="16"/>
        </w:numPr>
        <w:tabs>
          <w:tab w:val="left" w:pos="728"/>
          <w:tab w:val="clear" w:pos="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本产品资产估值的目的是客观、准确</w:t>
      </w:r>
      <w:r>
        <w:rPr>
          <w:rFonts w:hint="eastAsia" w:ascii="楷体" w:hAnsi="楷体" w:eastAsia="楷体" w:cs="Calibri"/>
          <w:b w:val="0"/>
          <w:bCs w:val="0"/>
          <w:color w:val="auto"/>
          <w:sz w:val="21"/>
          <w:szCs w:val="21"/>
          <w:highlight w:val="none"/>
          <w:lang w:val="en-US" w:eastAsia="zh-CN"/>
        </w:rPr>
        <w:t>地</w:t>
      </w:r>
      <w:r>
        <w:rPr>
          <w:rFonts w:hint="eastAsia" w:ascii="楷体" w:hAnsi="楷体" w:eastAsia="楷体" w:cs="Calibri"/>
          <w:b w:val="0"/>
          <w:bCs w:val="0"/>
          <w:color w:val="auto"/>
          <w:sz w:val="21"/>
          <w:szCs w:val="21"/>
          <w:highlight w:val="none"/>
        </w:rPr>
        <w:t>反映资产净值，确定理财产品资产净值，并为理财产品的兑付提供计价依据。</w:t>
      </w:r>
    </w:p>
    <w:p>
      <w:pPr>
        <w:keepNext w:val="0"/>
        <w:keepLines w:val="0"/>
        <w:pageBreakBefore w:val="0"/>
        <w:widowControl w:val="0"/>
        <w:numPr>
          <w:ilvl w:val="0"/>
          <w:numId w:val="16"/>
        </w:numPr>
        <w:tabs>
          <w:tab w:val="left" w:pos="728"/>
          <w:tab w:val="clear" w:pos="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本产品单位净值精确到小数点后</w:t>
      </w:r>
      <w:r>
        <w:rPr>
          <w:rFonts w:hint="eastAsia" w:ascii="楷体" w:hAnsi="楷体" w:eastAsia="楷体" w:cs="Calibri"/>
          <w:b w:val="0"/>
          <w:bCs w:val="0"/>
          <w:color w:val="auto"/>
          <w:sz w:val="21"/>
          <w:szCs w:val="21"/>
          <w:highlight w:val="none"/>
          <w:lang w:val="en-US" w:eastAsia="zh-CN"/>
        </w:rPr>
        <w:t>6</w:t>
      </w:r>
      <w:r>
        <w:rPr>
          <w:rFonts w:hint="eastAsia" w:ascii="楷体" w:hAnsi="楷体" w:eastAsia="楷体" w:cs="Calibri"/>
          <w:b w:val="0"/>
          <w:bCs w:val="0"/>
          <w:color w:val="auto"/>
          <w:sz w:val="21"/>
          <w:szCs w:val="21"/>
          <w:highlight w:val="none"/>
        </w:rPr>
        <w:t>位，小数点</w:t>
      </w:r>
      <w:r>
        <w:rPr>
          <w:rFonts w:hint="eastAsia" w:ascii="楷体" w:hAnsi="楷体" w:eastAsia="楷体" w:cs="Calibri"/>
          <w:b w:val="0"/>
          <w:bCs w:val="0"/>
          <w:color w:val="auto"/>
          <w:sz w:val="21"/>
          <w:szCs w:val="21"/>
          <w:highlight w:val="none"/>
          <w:lang w:val="en-US" w:eastAsia="zh-CN"/>
        </w:rPr>
        <w:t>6</w:t>
      </w:r>
      <w:r>
        <w:rPr>
          <w:rFonts w:hint="eastAsia" w:ascii="楷体" w:hAnsi="楷体" w:eastAsia="楷体" w:cs="Calibri"/>
          <w:b w:val="0"/>
          <w:bCs w:val="0"/>
          <w:color w:val="auto"/>
          <w:sz w:val="21"/>
          <w:szCs w:val="21"/>
          <w:highlight w:val="none"/>
        </w:rPr>
        <w:t>位后截位。</w:t>
      </w:r>
    </w:p>
    <w:p>
      <w:pPr>
        <w:keepNext w:val="0"/>
        <w:keepLines w:val="0"/>
        <w:pageBreakBefore w:val="0"/>
        <w:widowControl w:val="0"/>
        <w:numPr>
          <w:ilvl w:val="0"/>
          <w:numId w:val="15"/>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估值方法</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1.存款类资产、货币市场工具：以本金列示，逐日计提利息。</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2.货币市场基金：按公允价值进行估值，以估值截止时间点能够取得的最新每万份收益进行估值。</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3.债券类资产：按公允价值进行估值，采用市价、监管认可的第三方估值机构提供的估值价格进行估值。</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4.权益类资产：按公允价值进行估值，采用市价、监管认可的第三方估值机构提供的估值价格进行估值。</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5.证券、基金、保险等资产管理计划和信托计划等资产（不含货币市场基金）：按公允价值进行估值，上述各类资管产品关于同一投资品种的估值原则、政策、技术和方法等应与理财产品管理人保持一致，理财产品管理人将按照会计准则要求定期进行评估。</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6.其他资产：按公允价值进行估值。</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如有新增事项或变更事项，按国家法律法规及监管最新规定执行。</w:t>
      </w:r>
    </w:p>
    <w:p>
      <w:pPr>
        <w:keepNext w:val="0"/>
        <w:keepLines w:val="0"/>
        <w:pageBreakBefore w:val="0"/>
        <w:widowControl w:val="0"/>
        <w:numPr>
          <w:ilvl w:val="0"/>
          <w:numId w:val="15"/>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估值错误的处理</w:t>
      </w:r>
    </w:p>
    <w:p>
      <w:pPr>
        <w:keepNext w:val="0"/>
        <w:keepLines w:val="0"/>
        <w:pageBreakBefore w:val="0"/>
        <w:wordWrap/>
        <w:topLinePunct w:val="0"/>
        <w:autoSpaceDE/>
        <w:autoSpaceDN/>
        <w:bidi w:val="0"/>
        <w:ind w:firstLine="420" w:firstLineChars="200"/>
        <w:textAlignment w:val="auto"/>
        <w:rPr>
          <w:rFonts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减轻或消除由此造成的影响。</w:t>
      </w:r>
    </w:p>
    <w:p>
      <w:pPr>
        <w:keepNext w:val="0"/>
        <w:keepLines w:val="0"/>
        <w:pageBreakBefore w:val="0"/>
        <w:widowControl w:val="0"/>
        <w:numPr>
          <w:ilvl w:val="0"/>
          <w:numId w:val="15"/>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暂停估值</w:t>
      </w:r>
    </w:p>
    <w:p>
      <w:pPr>
        <w:keepNext w:val="0"/>
        <w:keepLines w:val="0"/>
        <w:pageBreakBefore w:val="0"/>
        <w:wordWrap/>
        <w:topLinePunct w:val="0"/>
        <w:autoSpaceDE/>
        <w:autoSpaceDN/>
        <w:bidi w:val="0"/>
        <w:ind w:firstLine="420" w:firstLineChars="200"/>
        <w:textAlignment w:val="auto"/>
        <w:rPr>
          <w:rFonts w:hint="eastAsia"/>
          <w:highlight w:val="none"/>
        </w:rPr>
      </w:pPr>
      <w:r>
        <w:rPr>
          <w:rFonts w:hint="eastAsia" w:ascii="楷体" w:hAnsi="楷体" w:eastAsia="楷体"/>
          <w:b w:val="0"/>
          <w:bCs w:val="0"/>
          <w:color w:val="auto"/>
          <w:sz w:val="21"/>
          <w:szCs w:val="21"/>
          <w:highlight w:val="none"/>
        </w:rPr>
        <w:t>理财产品投资所涉及的证券交易所遇法定节假日或其他原因暂停营业时，或因任何不可抗力致使无法准确评估资产价值时，可暂停估值。但估值条件恢复时，将按规定完成估值工作。</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信息披露</w:t>
      </w:r>
    </w:p>
    <w:p>
      <w:pPr>
        <w:keepNext w:val="0"/>
        <w:keepLines w:val="0"/>
        <w:pageBreakBefore w:val="0"/>
        <w:widowControl w:val="0"/>
        <w:numPr>
          <w:ilvl w:val="0"/>
          <w:numId w:val="17"/>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信息披露</w:t>
      </w:r>
      <w:r>
        <w:rPr>
          <w:rFonts w:hint="eastAsia" w:ascii="楷体" w:hAnsi="楷体" w:eastAsia="楷体" w:cs="Calibri"/>
          <w:b w:val="0"/>
          <w:bCs w:val="0"/>
          <w:color w:val="auto"/>
          <w:sz w:val="21"/>
          <w:szCs w:val="21"/>
          <w:highlight w:val="none"/>
          <w:lang w:val="en-US" w:eastAsia="zh-CN"/>
        </w:rPr>
        <w:t>方式</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sz w:val="21"/>
          <w:szCs w:val="21"/>
          <w:highlight w:val="none"/>
          <w:lang w:val="en-US" w:eastAsia="zh-CN"/>
        </w:rPr>
        <w:t>管理人</w:t>
      </w:r>
      <w:r>
        <w:rPr>
          <w:rFonts w:hint="eastAsia" w:ascii="楷体" w:hAnsi="楷体" w:eastAsia="楷体" w:cs="Calibri"/>
          <w:b w:val="0"/>
          <w:bCs w:val="0"/>
          <w:sz w:val="21"/>
          <w:szCs w:val="21"/>
          <w:highlight w:val="none"/>
        </w:rPr>
        <w:t>通过苏银理财有限责任公司官方网站（</w:t>
      </w:r>
      <w:r>
        <w:rPr>
          <w:rFonts w:ascii="楷体" w:hAnsi="楷体" w:eastAsia="楷体" w:cs="Calibri"/>
          <w:b w:val="0"/>
          <w:bCs w:val="0"/>
          <w:sz w:val="21"/>
          <w:szCs w:val="21"/>
          <w:highlight w:val="none"/>
        </w:rPr>
        <w:t>www</w:t>
      </w:r>
      <w:r>
        <w:rPr>
          <w:rFonts w:hint="eastAsia" w:ascii="楷体" w:hAnsi="楷体" w:eastAsia="楷体" w:cs="Calibri"/>
          <w:b w:val="0"/>
          <w:bCs w:val="0"/>
          <w:sz w:val="21"/>
          <w:szCs w:val="21"/>
          <w:highlight w:val="none"/>
          <w:lang w:val="en-US" w:eastAsia="zh-CN"/>
        </w:rPr>
        <w:t>.</w:t>
      </w:r>
      <w:r>
        <w:rPr>
          <w:rFonts w:ascii="楷体" w:hAnsi="楷体" w:eastAsia="楷体" w:cs="Calibri"/>
          <w:b w:val="0"/>
          <w:bCs w:val="0"/>
          <w:sz w:val="21"/>
          <w:szCs w:val="21"/>
          <w:highlight w:val="none"/>
        </w:rPr>
        <w:t>suyinwealth</w:t>
      </w:r>
      <w:r>
        <w:rPr>
          <w:rFonts w:hint="eastAsia" w:ascii="楷体" w:hAnsi="楷体" w:eastAsia="楷体" w:cs="Calibri"/>
          <w:b w:val="0"/>
          <w:bCs w:val="0"/>
          <w:sz w:val="21"/>
          <w:szCs w:val="21"/>
          <w:highlight w:val="none"/>
          <w:lang w:val="en-US" w:eastAsia="zh-CN"/>
        </w:rPr>
        <w:t>.</w:t>
      </w:r>
      <w:r>
        <w:rPr>
          <w:rFonts w:ascii="楷体" w:hAnsi="楷体" w:eastAsia="楷体" w:cs="Calibri"/>
          <w:b w:val="0"/>
          <w:bCs w:val="0"/>
          <w:sz w:val="21"/>
          <w:szCs w:val="21"/>
          <w:highlight w:val="none"/>
        </w:rPr>
        <w:t>com</w:t>
      </w:r>
      <w:r>
        <w:rPr>
          <w:rFonts w:hint="eastAsia" w:ascii="楷体" w:hAnsi="楷体" w:eastAsia="楷体" w:cs="Calibri"/>
          <w:b w:val="0"/>
          <w:bCs w:val="0"/>
          <w:sz w:val="21"/>
          <w:szCs w:val="21"/>
          <w:highlight w:val="none"/>
        </w:rPr>
        <w:t>）进行信息披露。</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sz w:val="21"/>
          <w:szCs w:val="21"/>
          <w:highlight w:val="none"/>
          <w:lang w:val="en-US" w:eastAsia="zh-CN"/>
        </w:rPr>
        <w:t>管理人</w:t>
      </w:r>
      <w:r>
        <w:rPr>
          <w:rFonts w:hint="eastAsia" w:ascii="楷体" w:hAnsi="楷体" w:eastAsia="楷体" w:cs="Calibri"/>
          <w:b w:val="0"/>
          <w:bCs w:val="0"/>
          <w:sz w:val="21"/>
          <w:szCs w:val="21"/>
          <w:highlight w:val="none"/>
        </w:rPr>
        <w:t>将信息披露内容发送销售机构，由销售机构通过</w:t>
      </w:r>
      <w:r>
        <w:rPr>
          <w:rFonts w:hint="eastAsia" w:ascii="楷体" w:hAnsi="楷体" w:eastAsia="楷体" w:cs="Calibri"/>
          <w:b w:val="0"/>
          <w:bCs w:val="0"/>
          <w:sz w:val="21"/>
          <w:szCs w:val="21"/>
          <w:highlight w:val="none"/>
          <w:lang w:val="en-US" w:eastAsia="zh-CN"/>
        </w:rPr>
        <w:t>短信及</w:t>
      </w:r>
      <w:r>
        <w:rPr>
          <w:rFonts w:hint="eastAsia" w:ascii="楷体" w:hAnsi="楷体" w:eastAsia="楷体" w:cs="Calibri"/>
          <w:b w:val="0"/>
          <w:bCs w:val="0"/>
          <w:sz w:val="21"/>
          <w:szCs w:val="21"/>
          <w:highlight w:val="none"/>
        </w:rPr>
        <w:t>销售机构电子渠道和营业网点</w:t>
      </w:r>
      <w:r>
        <w:rPr>
          <w:rFonts w:hint="eastAsia" w:ascii="楷体" w:hAnsi="楷体" w:eastAsia="楷体" w:cs="Calibri"/>
          <w:b w:val="0"/>
          <w:bCs w:val="0"/>
          <w:sz w:val="21"/>
          <w:szCs w:val="21"/>
          <w:highlight w:val="none"/>
          <w:lang w:val="en-US" w:eastAsia="zh-CN"/>
        </w:rPr>
        <w:t>等方式</w:t>
      </w:r>
      <w:r>
        <w:rPr>
          <w:rFonts w:hint="eastAsia" w:ascii="楷体" w:hAnsi="楷体" w:eastAsia="楷体" w:cs="Calibri"/>
          <w:b w:val="0"/>
          <w:bCs w:val="0"/>
          <w:sz w:val="21"/>
          <w:szCs w:val="21"/>
          <w:highlight w:val="none"/>
        </w:rPr>
        <w:t>进行信息披露。</w:t>
      </w:r>
    </w:p>
    <w:p>
      <w:pPr>
        <w:keepNext w:val="0"/>
        <w:keepLines w:val="0"/>
        <w:pageBreakBefore w:val="0"/>
        <w:numPr>
          <w:ilvl w:val="0"/>
          <w:numId w:val="0"/>
        </w:numPr>
        <w:wordWrap/>
        <w:topLinePunct w:val="0"/>
        <w:autoSpaceDE/>
        <w:autoSpaceDN/>
        <w:bidi w:val="0"/>
        <w:ind w:left="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b w:val="0"/>
          <w:bCs w:val="0"/>
          <w:sz w:val="21"/>
          <w:szCs w:val="21"/>
          <w:highlight w:val="none"/>
        </w:rPr>
        <w:t>相关信息在发布或发出之日视为通知已送达投资者并生效，</w:t>
      </w:r>
      <w:r>
        <w:rPr>
          <w:rFonts w:hint="eastAsia" w:ascii="楷体" w:hAnsi="楷体" w:eastAsia="楷体"/>
          <w:b w:val="0"/>
          <w:bCs w:val="0"/>
          <w:sz w:val="21"/>
          <w:szCs w:val="21"/>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b w:val="0"/>
          <w:bCs w:val="0"/>
          <w:sz w:val="21"/>
          <w:szCs w:val="21"/>
          <w:highlight w:val="none"/>
        </w:rPr>
        <w:t>请</w:t>
      </w:r>
      <w:r>
        <w:rPr>
          <w:rFonts w:hint="eastAsia" w:ascii="楷体" w:hAnsi="楷体" w:eastAsia="楷体"/>
          <w:b w:val="0"/>
          <w:bCs w:val="0"/>
          <w:sz w:val="21"/>
          <w:szCs w:val="21"/>
          <w:highlight w:val="none"/>
          <w:lang w:val="en-US" w:eastAsia="zh-CN"/>
        </w:rPr>
        <w:t>投资者</w:t>
      </w:r>
      <w:r>
        <w:rPr>
          <w:rFonts w:hint="eastAsia" w:ascii="楷体" w:hAnsi="楷体" w:eastAsia="楷体"/>
          <w:b w:val="0"/>
          <w:bCs w:val="0"/>
          <w:sz w:val="21"/>
          <w:szCs w:val="21"/>
          <w:highlight w:val="none"/>
        </w:rPr>
        <w:t>及时登陆苏银理财有限责任</w:t>
      </w:r>
      <w:r>
        <w:rPr>
          <w:rFonts w:hint="eastAsia" w:ascii="楷体" w:hAnsi="楷体" w:eastAsia="楷体"/>
          <w:b w:val="0"/>
          <w:bCs w:val="0"/>
          <w:sz w:val="21"/>
          <w:szCs w:val="21"/>
          <w:highlight w:val="none"/>
          <w:lang w:val="en-US" w:eastAsia="zh-CN"/>
        </w:rPr>
        <w:t>公司</w:t>
      </w:r>
      <w:r>
        <w:rPr>
          <w:rFonts w:hint="eastAsia" w:ascii="楷体" w:hAnsi="楷体" w:eastAsia="楷体"/>
          <w:b w:val="0"/>
          <w:bCs w:val="0"/>
          <w:sz w:val="21"/>
          <w:szCs w:val="21"/>
          <w:highlight w:val="none"/>
        </w:rPr>
        <w:t>官方网站或者向销售机构查询获取披露信息</w:t>
      </w:r>
      <w:r>
        <w:rPr>
          <w:rFonts w:hint="eastAsia" w:ascii="楷体" w:hAnsi="楷体" w:eastAsia="楷体"/>
          <w:b w:val="0"/>
          <w:bCs w:val="0"/>
          <w:color w:val="auto"/>
          <w:sz w:val="21"/>
          <w:szCs w:val="21"/>
          <w:highlight w:val="none"/>
        </w:rPr>
        <w:t>。</w:t>
      </w:r>
    </w:p>
    <w:p>
      <w:pPr>
        <w:keepNext w:val="0"/>
        <w:keepLines w:val="0"/>
        <w:pageBreakBefore w:val="0"/>
        <w:widowControl w:val="0"/>
        <w:numPr>
          <w:ilvl w:val="0"/>
          <w:numId w:val="17"/>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信息披露</w:t>
      </w:r>
      <w:r>
        <w:rPr>
          <w:rFonts w:hint="eastAsia" w:ascii="楷体" w:hAnsi="楷体" w:eastAsia="楷体" w:cs="Calibri"/>
          <w:b w:val="0"/>
          <w:bCs w:val="0"/>
          <w:color w:val="auto"/>
          <w:sz w:val="21"/>
          <w:szCs w:val="21"/>
          <w:highlight w:val="none"/>
          <w:lang w:val="en-US" w:eastAsia="zh-CN"/>
        </w:rPr>
        <w:t>内容及时间</w:t>
      </w:r>
    </w:p>
    <w:p>
      <w:pPr>
        <w:keepNext w:val="0"/>
        <w:keepLines w:val="0"/>
        <w:pageBreakBefore w:val="0"/>
        <w:widowControl w:val="0"/>
        <w:numPr>
          <w:ilvl w:val="0"/>
          <w:numId w:val="1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产品净值：</w:t>
      </w:r>
      <w:r>
        <w:rPr>
          <w:rFonts w:hint="eastAsia" w:ascii="楷体" w:hAnsi="楷体" w:eastAsia="楷体" w:cs="Calibri"/>
          <w:color w:val="auto"/>
          <w:sz w:val="21"/>
          <w:szCs w:val="21"/>
          <w:highlight w:val="none"/>
          <w:lang w:val="en-US" w:eastAsia="zh-CN"/>
        </w:rPr>
        <w:t>公募封闭式产品至少</w:t>
      </w:r>
      <w:r>
        <w:rPr>
          <w:rFonts w:hint="eastAsia" w:ascii="楷体" w:hAnsi="楷体" w:eastAsia="楷体" w:cs="Calibri"/>
          <w:color w:val="auto"/>
          <w:sz w:val="21"/>
          <w:szCs w:val="21"/>
          <w:highlight w:val="none"/>
        </w:rPr>
        <w:t>每周向投资者披露一次产品的份额净值、份额累计净值</w:t>
      </w:r>
      <w:r>
        <w:rPr>
          <w:rFonts w:hint="eastAsia" w:ascii="楷体" w:hAnsi="楷体" w:eastAsia="楷体" w:cs="Calibri"/>
          <w:color w:val="auto"/>
          <w:sz w:val="21"/>
          <w:szCs w:val="21"/>
          <w:highlight w:val="none"/>
          <w:lang w:val="en-US" w:eastAsia="zh-CN"/>
        </w:rPr>
        <w:t>；公募开放式产品</w:t>
      </w:r>
      <w:r>
        <w:rPr>
          <w:rFonts w:hint="eastAsia" w:ascii="楷体" w:hAnsi="楷体" w:eastAsia="楷体" w:cs="Calibri"/>
          <w:color w:val="auto"/>
          <w:sz w:val="21"/>
          <w:szCs w:val="21"/>
          <w:highlight w:val="none"/>
          <w:lang w:eastAsia="zh-CN"/>
        </w:rPr>
        <w:t>每个开放日结束后两个工作日内，披露开放式公募理财产品在开放日的份额净值、份额累计净值、认（申）购价格和赎回价格</w:t>
      </w:r>
      <w:r>
        <w:rPr>
          <w:rFonts w:hint="eastAsia" w:ascii="楷体" w:hAnsi="楷体" w:eastAsia="楷体" w:cs="Calibri"/>
          <w:color w:val="auto"/>
          <w:sz w:val="21"/>
          <w:szCs w:val="21"/>
          <w:highlight w:val="none"/>
          <w:lang w:val="en-US" w:eastAsia="zh-CN"/>
        </w:rPr>
        <w:t>；私募产品至少每季度向投资者披露一次产品的份额净值、份额累计净值，以管理人实际披露为准。</w:t>
      </w:r>
    </w:p>
    <w:p>
      <w:pPr>
        <w:keepNext w:val="0"/>
        <w:keepLines w:val="0"/>
        <w:pageBreakBefore w:val="0"/>
        <w:widowControl w:val="0"/>
        <w:numPr>
          <w:ilvl w:val="0"/>
          <w:numId w:val="1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发行公告：管理人在产品成立后5个工作日内，披露产品成立公告，内容包括理财产品成立日期和募集规模等信息。</w:t>
      </w:r>
    </w:p>
    <w:p>
      <w:pPr>
        <w:keepNext w:val="0"/>
        <w:keepLines w:val="0"/>
        <w:pageBreakBefore w:val="0"/>
        <w:widowControl w:val="0"/>
        <w:numPr>
          <w:ilvl w:val="0"/>
          <w:numId w:val="1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keepNext w:val="0"/>
        <w:keepLines w:val="0"/>
        <w:pageBreakBefore w:val="0"/>
        <w:widowControl w:val="0"/>
        <w:numPr>
          <w:ilvl w:val="0"/>
          <w:numId w:val="1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到期公告：管理人在产品终止后5个工作日内，披露产品到期公告，内容包括理财产品的存续期限、终止日期、收费情况和收益分配情况等信息。</w:t>
      </w:r>
    </w:p>
    <w:p>
      <w:pPr>
        <w:keepNext w:val="0"/>
        <w:keepLines w:val="0"/>
        <w:pageBreakBefore w:val="0"/>
        <w:widowControl w:val="0"/>
        <w:numPr>
          <w:ilvl w:val="0"/>
          <w:numId w:val="1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重大事项公告：管理人在发生可能对理财产品投资者或者理财产品收益</w:t>
      </w:r>
      <w:r>
        <w:rPr>
          <w:rFonts w:hint="eastAsia" w:ascii="楷体" w:hAnsi="楷体" w:eastAsia="楷体" w:cs="Calibri"/>
          <w:color w:val="auto"/>
          <w:sz w:val="21"/>
          <w:szCs w:val="21"/>
          <w:highlight w:val="none"/>
          <w:lang w:val="en-US" w:eastAsia="zh-CN"/>
        </w:rPr>
        <w:t>产生重大影响</w:t>
      </w:r>
      <w:r>
        <w:rPr>
          <w:rFonts w:hint="eastAsia" w:ascii="楷体" w:hAnsi="楷体" w:eastAsia="楷体" w:cs="Calibri"/>
          <w:color w:val="auto"/>
          <w:sz w:val="21"/>
          <w:szCs w:val="21"/>
          <w:highlight w:val="none"/>
        </w:rPr>
        <w:t>的事件后2个工作日内发布重大事项公告。</w:t>
      </w:r>
    </w:p>
    <w:p>
      <w:pPr>
        <w:keepNext w:val="0"/>
        <w:keepLines w:val="0"/>
        <w:pageBreakBefore w:val="0"/>
        <w:widowControl w:val="0"/>
        <w:numPr>
          <w:ilvl w:val="0"/>
          <w:numId w:val="1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highlight w:val="none"/>
        </w:rPr>
      </w:pPr>
      <w:r>
        <w:rPr>
          <w:rFonts w:hint="eastAsia" w:ascii="楷体" w:hAnsi="楷体" w:eastAsia="楷体" w:cs="楷体"/>
          <w:color w:val="auto"/>
          <w:sz w:val="21"/>
          <w:szCs w:val="21"/>
          <w:highlight w:val="none"/>
        </w:rPr>
        <w:t>临时性信息：管理人将及时披露国务院银行业监督管理机构规定的其他信息或除重大事项事件以外的其他信息。</w:t>
      </w:r>
    </w:p>
    <w:p>
      <w:pPr>
        <w:keepNext w:val="0"/>
        <w:keepLines w:val="0"/>
        <w:pageBreakBefore w:val="0"/>
        <w:widowControl w:val="0"/>
        <w:numPr>
          <w:ilvl w:val="0"/>
          <w:numId w:val="1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半年度整体报告：每半年披露从事理财业务活动的有关信息。</w:t>
      </w:r>
    </w:p>
    <w:p>
      <w:pPr>
        <w:keepNext w:val="0"/>
        <w:keepLines w:val="0"/>
        <w:pageBreakBefore w:val="0"/>
        <w:widowControl w:val="0"/>
        <w:numPr>
          <w:ilvl w:val="0"/>
          <w:numId w:val="1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理财账单：管理人每月向投资者提供其所持有的理财产品账单，账单内容包括但不限于投资者持有的理财产品份额、认购金额、份额</w:t>
      </w:r>
      <w:r>
        <w:rPr>
          <w:rFonts w:hint="eastAsia" w:ascii="楷体" w:hAnsi="楷体" w:eastAsia="楷体" w:cs="Calibri"/>
          <w:color w:val="auto"/>
          <w:sz w:val="21"/>
          <w:szCs w:val="21"/>
          <w:highlight w:val="none"/>
          <w:lang w:val="en-US" w:eastAsia="zh-CN"/>
        </w:rPr>
        <w:t>单位</w:t>
      </w:r>
      <w:r>
        <w:rPr>
          <w:rFonts w:hint="eastAsia" w:ascii="楷体" w:hAnsi="楷体" w:eastAsia="楷体" w:cs="Calibri"/>
          <w:color w:val="auto"/>
          <w:sz w:val="21"/>
          <w:szCs w:val="21"/>
          <w:highlight w:val="none"/>
        </w:rPr>
        <w:t>净值、份额累计净值、资产净值、收益情况、投资者理财交易账户发生的交易明细记录等信息。</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其他</w:t>
      </w:r>
    </w:p>
    <w:p>
      <w:pPr>
        <w:keepNext w:val="0"/>
        <w:keepLines w:val="0"/>
        <w:pageBreakBefore w:val="0"/>
        <w:widowControl w:val="0"/>
        <w:numPr>
          <w:ilvl w:val="0"/>
          <w:numId w:val="20"/>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追索条款</w:t>
      </w:r>
    </w:p>
    <w:p>
      <w:pPr>
        <w:keepNext w:val="0"/>
        <w:keepLines w:val="0"/>
        <w:pageBreakBefore w:val="0"/>
        <w:wordWrap/>
        <w:topLinePunct w:val="0"/>
        <w:autoSpaceDE/>
        <w:autoSpaceDN/>
        <w:bidi w:val="0"/>
        <w:ind w:firstLine="420" w:firstLineChars="200"/>
        <w:textAlignment w:val="auto"/>
        <w:rPr>
          <w:rFonts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若本理财产品所投资的金融资产到期不能全部偿付导致资产减值甚至本金大幅损失，则苏银理财将以管理人名义，代表理财产品投资者利益行使诉讼权利或者实施其他权利救济措施。</w:t>
      </w:r>
    </w:p>
    <w:p>
      <w:pPr>
        <w:keepNext w:val="0"/>
        <w:keepLines w:val="0"/>
        <w:pageBreakBefore w:val="0"/>
        <w:widowControl w:val="0"/>
        <w:numPr>
          <w:ilvl w:val="0"/>
          <w:numId w:val="20"/>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信息安全</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苏银理财及</w:t>
      </w:r>
      <w:r>
        <w:rPr>
          <w:rFonts w:hint="eastAsia" w:ascii="楷体" w:hAnsi="楷体" w:eastAsia="楷体"/>
          <w:b w:val="0"/>
          <w:bCs w:val="0"/>
          <w:color w:val="auto"/>
          <w:sz w:val="21"/>
          <w:szCs w:val="21"/>
          <w:highlight w:val="none"/>
          <w:lang w:val="en-US" w:eastAsia="zh-CN"/>
        </w:rPr>
        <w:t>销售</w:t>
      </w:r>
      <w:r>
        <w:rPr>
          <w:rFonts w:hint="eastAsia" w:ascii="楷体" w:hAnsi="楷体" w:eastAsia="楷体"/>
          <w:b w:val="0"/>
          <w:bCs w:val="0"/>
          <w:color w:val="auto"/>
          <w:sz w:val="21"/>
          <w:szCs w:val="21"/>
          <w:highlight w:val="none"/>
        </w:rPr>
        <w:t>机构将据相关法律、法规严格履行投资者信息保密责任，除监管机构或司法机关等有权机构外，不得对其他第三方提供任何投资者信息。</w:t>
      </w:r>
    </w:p>
    <w:p>
      <w:pPr>
        <w:keepNext w:val="0"/>
        <w:keepLines w:val="0"/>
        <w:pageBreakBefore w:val="0"/>
        <w:widowControl w:val="0"/>
        <w:numPr>
          <w:ilvl w:val="0"/>
          <w:numId w:val="20"/>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争议解决</w:t>
      </w:r>
    </w:p>
    <w:p>
      <w:pPr>
        <w:keepNext w:val="0"/>
        <w:keepLines w:val="0"/>
        <w:pageBreakBefore w:val="0"/>
        <w:wordWrap/>
        <w:topLinePunct w:val="0"/>
        <w:autoSpaceDE/>
        <w:autoSpaceDN/>
        <w:bidi w:val="0"/>
        <w:adjustRightInd w:val="0"/>
        <w:ind w:firstLine="420" w:firstLineChars="200"/>
        <w:textAlignment w:val="auto"/>
        <w:rPr>
          <w:rFonts w:hint="eastAsia" w:ascii="楷体" w:hAnsi="楷体" w:eastAsia="楷体"/>
          <w:sz w:val="24"/>
          <w:szCs w:val="24"/>
          <w:highlight w:val="none"/>
        </w:rPr>
      </w:pPr>
      <w:r>
        <w:rPr>
          <w:rFonts w:hint="eastAsia" w:ascii="楷体" w:hAnsi="楷体" w:eastAsia="楷体"/>
          <w:b w:val="0"/>
          <w:bCs w:val="0"/>
          <w:color w:val="auto"/>
          <w:sz w:val="21"/>
          <w:szCs w:val="21"/>
          <w:highlight w:val="none"/>
          <w:lang w:val="en-US" w:eastAsia="zh-CN"/>
        </w:rPr>
        <w:t>本产品说明书</w:t>
      </w:r>
      <w:r>
        <w:rPr>
          <w:rFonts w:hint="eastAsia" w:ascii="楷体" w:hAnsi="楷体" w:eastAsia="楷体"/>
          <w:b w:val="0"/>
          <w:bCs w:val="0"/>
          <w:color w:val="auto"/>
          <w:sz w:val="21"/>
          <w:szCs w:val="21"/>
          <w:highlight w:val="none"/>
        </w:rPr>
        <w:t>的订立、生效、履行、解释、修改和终止等事项均适用中华人民共和国（为本合同目的，不包括香港特别行政区、澳门特别行政区和台湾地区）法律。</w:t>
      </w:r>
      <w:r>
        <w:rPr>
          <w:rFonts w:hint="eastAsia" w:ascii="楷体" w:hAnsi="楷体" w:eastAsia="楷体"/>
          <w:b w:val="0"/>
          <w:bCs w:val="0"/>
          <w:color w:val="auto"/>
          <w:sz w:val="21"/>
          <w:szCs w:val="21"/>
          <w:highlight w:val="none"/>
          <w:lang w:val="en-US" w:eastAsia="zh-CN"/>
        </w:rPr>
        <w:t>因本产品说明书</w:t>
      </w:r>
      <w:r>
        <w:rPr>
          <w:rFonts w:hint="eastAsia" w:ascii="楷体" w:hAnsi="楷体" w:eastAsia="楷体"/>
          <w:b w:val="0"/>
          <w:bCs w:val="0"/>
          <w:color w:val="auto"/>
          <w:sz w:val="21"/>
          <w:szCs w:val="21"/>
          <w:highlight w:val="none"/>
        </w:rPr>
        <w:t>引起的或与</w:t>
      </w:r>
      <w:r>
        <w:rPr>
          <w:rFonts w:hint="eastAsia" w:ascii="楷体" w:hAnsi="楷体" w:eastAsia="楷体"/>
          <w:b w:val="0"/>
          <w:bCs w:val="0"/>
          <w:color w:val="auto"/>
          <w:sz w:val="21"/>
          <w:szCs w:val="21"/>
          <w:highlight w:val="none"/>
          <w:lang w:val="en-US" w:eastAsia="zh-CN"/>
        </w:rPr>
        <w:t>本产品说明书</w:t>
      </w:r>
      <w:r>
        <w:rPr>
          <w:rFonts w:hint="eastAsia" w:ascii="楷体" w:hAnsi="楷体" w:eastAsia="楷体"/>
          <w:b w:val="0"/>
          <w:bCs w:val="0"/>
          <w:color w:val="auto"/>
          <w:sz w:val="21"/>
          <w:szCs w:val="21"/>
          <w:highlight w:val="none"/>
        </w:rPr>
        <w:t>有关的任何争议，应当首先通过双方之间的友好协商解决；协商不成的，双方均有权提交产品管理人住所地有管辖权的人民法院诉讼解决。</w:t>
      </w:r>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35</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drawing>
        <wp:anchor distT="0" distB="0" distL="114300" distR="114300" simplePos="0" relativeHeight="251662336" behindDoc="0" locked="0" layoutInCell="1" allowOverlap="1">
          <wp:simplePos x="0" y="0"/>
          <wp:positionH relativeFrom="column">
            <wp:posOffset>4992370</wp:posOffset>
          </wp:positionH>
          <wp:positionV relativeFrom="paragraph">
            <wp:posOffset>-124460</wp:posOffset>
          </wp:positionV>
          <wp:extent cx="1325245" cy="424815"/>
          <wp:effectExtent l="0" t="0" r="635" b="190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1"/>
                  <a:stretch>
                    <a:fillRect/>
                  </a:stretch>
                </pic:blipFill>
                <pic:spPr>
                  <a:xfrm>
                    <a:off x="0" y="0"/>
                    <a:ext cx="1325245" cy="424815"/>
                  </a:xfrm>
                  <a:prstGeom prst="rect">
                    <a:avLst/>
                  </a:prstGeom>
                  <a:noFill/>
                  <a:ln>
                    <a:noFill/>
                  </a:ln>
                </pic:spPr>
              </pic:pic>
            </a:graphicData>
          </a:graphic>
        </wp:anchor>
      </w:drawing>
    </w: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3175" b="698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2">
                    <a:lum bright="70001" contrast="-70000"/>
                  </a:blip>
                  <a:stretch>
                    <a:fillRect/>
                  </a:stretch>
                </pic:blipFill>
                <pic:spPr>
                  <a:xfrm>
                    <a:off x="0" y="0"/>
                    <a:ext cx="14444345" cy="1095819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3175" b="698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3175" b="698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C7A4B8"/>
    <w:multiLevelType w:val="multilevel"/>
    <w:tmpl w:val="83C7A4B8"/>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89EF6621"/>
    <w:multiLevelType w:val="multilevel"/>
    <w:tmpl w:val="89EF6621"/>
    <w:lvl w:ilvl="0" w:tentative="0">
      <w:start w:val="1"/>
      <w:numFmt w:val="decimal"/>
      <w:suff w:val="nothing"/>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A9C08A8C"/>
    <w:multiLevelType w:val="multilevel"/>
    <w:tmpl w:val="A9C08A8C"/>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D34E8ACE"/>
    <w:multiLevelType w:val="multilevel"/>
    <w:tmpl w:val="D34E8ACE"/>
    <w:lvl w:ilvl="0" w:tentative="0">
      <w:start w:val="1"/>
      <w:numFmt w:val="chineseCounting"/>
      <w:suff w:val="nothing"/>
      <w:lvlText w:val="（%1）"/>
      <w:lvlJc w:val="left"/>
      <w:pPr>
        <w:tabs>
          <w:tab w:val="left" w:pos="0"/>
        </w:tabs>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5">
    <w:nsid w:val="D4FA9CD1"/>
    <w:multiLevelType w:val="singleLevel"/>
    <w:tmpl w:val="D4FA9CD1"/>
    <w:lvl w:ilvl="0" w:tentative="0">
      <w:start w:val="1"/>
      <w:numFmt w:val="decimalEnclosedCircleChinese"/>
      <w:suff w:val="nothing"/>
      <w:lvlText w:val="%1"/>
      <w:lvlJc w:val="left"/>
      <w:pPr>
        <w:tabs>
          <w:tab w:val="left" w:pos="0"/>
        </w:tabs>
        <w:ind w:left="0" w:firstLine="0"/>
      </w:pPr>
      <w:rPr>
        <w:rFonts w:hint="eastAsia" w:ascii="楷体" w:hAnsi="楷体" w:eastAsia="楷体" w:cs="楷体"/>
      </w:rPr>
    </w:lvl>
  </w:abstractNum>
  <w:abstractNum w:abstractNumId="6">
    <w:nsid w:val="D55A4D67"/>
    <w:multiLevelType w:val="multilevel"/>
    <w:tmpl w:val="D55A4D67"/>
    <w:lvl w:ilvl="0" w:tentative="0">
      <w:start w:val="1"/>
      <w:numFmt w:val="chineseCounting"/>
      <w:suff w:val="nothing"/>
      <w:lvlText w:val="（%1）"/>
      <w:lvlJc w:val="left"/>
      <w:pPr>
        <w:tabs>
          <w:tab w:val="left" w:pos="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7">
    <w:nsid w:val="F9EB37A1"/>
    <w:multiLevelType w:val="multilevel"/>
    <w:tmpl w:val="F9EB37A1"/>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FABDD487"/>
    <w:multiLevelType w:val="multilevel"/>
    <w:tmpl w:val="FABDD487"/>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9">
    <w:nsid w:val="FFB76D11"/>
    <w:multiLevelType w:val="multilevel"/>
    <w:tmpl w:val="FFB76D11"/>
    <w:lvl w:ilvl="0" w:tentative="0">
      <w:start w:val="1"/>
      <w:numFmt w:val="chineseCounting"/>
      <w:suff w:val="nothing"/>
      <w:lvlText w:val="（%1）"/>
      <w:lvlJc w:val="left"/>
      <w:pPr>
        <w:tabs>
          <w:tab w:val="left" w:pos="420"/>
        </w:tabs>
        <w:ind w:left="1129"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0">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0C3765E7"/>
    <w:multiLevelType w:val="multilevel"/>
    <w:tmpl w:val="0C3765E7"/>
    <w:lvl w:ilvl="0" w:tentative="0">
      <w:start w:val="1"/>
      <w:numFmt w:val="chineseCounting"/>
      <w:suff w:val="nothing"/>
      <w:lvlText w:val="（%1）"/>
      <w:lvlJc w:val="left"/>
      <w:pPr>
        <w:tabs>
          <w:tab w:val="left" w:pos="0"/>
        </w:tabs>
        <w:ind w:left="420" w:hanging="420"/>
      </w:pPr>
      <w:rPr>
        <w:rFonts w:hint="eastAsia" w:ascii="楷体" w:hAnsi="楷体" w:eastAsia="楷体" w:cs="楷体"/>
        <w:b w:val="0"/>
        <w:bCs w:val="0"/>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2">
    <w:nsid w:val="2F62CAAB"/>
    <w:multiLevelType w:val="singleLevel"/>
    <w:tmpl w:val="2F62CAAB"/>
    <w:lvl w:ilvl="0" w:tentative="0">
      <w:start w:val="1"/>
      <w:numFmt w:val="decimal"/>
      <w:suff w:val="nothing"/>
      <w:lvlText w:val="%1."/>
      <w:lvlJc w:val="left"/>
      <w:pPr>
        <w:tabs>
          <w:tab w:val="left" w:pos="0"/>
        </w:tabs>
        <w:ind w:left="0" w:firstLine="0"/>
      </w:pPr>
      <w:rPr>
        <w:rFonts w:hint="default"/>
      </w:rPr>
    </w:lvl>
  </w:abstractNum>
  <w:abstractNum w:abstractNumId="13">
    <w:nsid w:val="3603F780"/>
    <w:multiLevelType w:val="multilevel"/>
    <w:tmpl w:val="3603F780"/>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3708999D"/>
    <w:multiLevelType w:val="singleLevel"/>
    <w:tmpl w:val="3708999D"/>
    <w:lvl w:ilvl="0" w:tentative="0">
      <w:start w:val="1"/>
      <w:numFmt w:val="decimalEnclosedCircleChinese"/>
      <w:suff w:val="nothing"/>
      <w:lvlText w:val="%1　"/>
      <w:lvlJc w:val="left"/>
      <w:pPr>
        <w:ind w:left="0" w:firstLine="400"/>
      </w:pPr>
      <w:rPr>
        <w:rFonts w:hint="eastAsia"/>
        <w:b w:val="0"/>
        <w:bCs w:val="0"/>
      </w:rPr>
    </w:lvl>
  </w:abstractNum>
  <w:abstractNum w:abstractNumId="15">
    <w:nsid w:val="4FF03779"/>
    <w:multiLevelType w:val="singleLevel"/>
    <w:tmpl w:val="4FF03779"/>
    <w:lvl w:ilvl="0" w:tentative="0">
      <w:start w:val="1"/>
      <w:numFmt w:val="decimal"/>
      <w:suff w:val="nothing"/>
      <w:lvlText w:val="%1."/>
      <w:lvlJc w:val="left"/>
      <w:pPr>
        <w:tabs>
          <w:tab w:val="left" w:pos="0"/>
        </w:tabs>
        <w:ind w:left="0" w:firstLine="0"/>
      </w:pPr>
      <w:rPr>
        <w:rFonts w:hint="default"/>
      </w:rPr>
    </w:lvl>
  </w:abstractNum>
  <w:abstractNum w:abstractNumId="16">
    <w:nsid w:val="537C70F8"/>
    <w:multiLevelType w:val="multilevel"/>
    <w:tmpl w:val="537C70F8"/>
    <w:lvl w:ilvl="0" w:tentative="0">
      <w:start w:val="1"/>
      <w:numFmt w:val="chineseCounting"/>
      <w:suff w:val="nothing"/>
      <w:lvlText w:val="%1、"/>
      <w:lvlJc w:val="left"/>
      <w:pPr>
        <w:tabs>
          <w:tab w:val="left" w:pos="0"/>
        </w:tabs>
        <w:ind w:left="0" w:firstLine="4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557CABA9"/>
    <w:multiLevelType w:val="multilevel"/>
    <w:tmpl w:val="557CABA9"/>
    <w:lvl w:ilvl="0" w:tentative="0">
      <w:start w:val="1"/>
      <w:numFmt w:val="decimal"/>
      <w:suff w:val="nothing"/>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63B36EF9"/>
    <w:multiLevelType w:val="multilevel"/>
    <w:tmpl w:val="63B36EF9"/>
    <w:lvl w:ilvl="0" w:tentative="0">
      <w:start w:val="1"/>
      <w:numFmt w:val="chineseCounting"/>
      <w:suff w:val="nothing"/>
      <w:lvlText w:val="（%1）"/>
      <w:lvlJc w:val="left"/>
      <w:pPr>
        <w:tabs>
          <w:tab w:val="left" w:pos="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9">
    <w:nsid w:val="66CD7663"/>
    <w:multiLevelType w:val="multilevel"/>
    <w:tmpl w:val="66CD7663"/>
    <w:lvl w:ilvl="0" w:tentative="0">
      <w:start w:val="1"/>
      <w:numFmt w:val="chineseCounting"/>
      <w:suff w:val="nothing"/>
      <w:lvlText w:val="（%1）"/>
      <w:lvlJc w:val="left"/>
      <w:pPr>
        <w:tabs>
          <w:tab w:val="left" w:pos="420"/>
        </w:tabs>
        <w:ind w:left="1129"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14"/>
  </w:num>
  <w:num w:numId="2">
    <w:abstractNumId w:val="16"/>
  </w:num>
  <w:num w:numId="3">
    <w:abstractNumId w:val="4"/>
  </w:num>
  <w:num w:numId="4">
    <w:abstractNumId w:val="3"/>
  </w:num>
  <w:num w:numId="5">
    <w:abstractNumId w:val="10"/>
  </w:num>
  <w:num w:numId="6">
    <w:abstractNumId w:val="6"/>
  </w:num>
  <w:num w:numId="7">
    <w:abstractNumId w:val="5"/>
  </w:num>
  <w:num w:numId="8">
    <w:abstractNumId w:val="15"/>
  </w:num>
  <w:num w:numId="9">
    <w:abstractNumId w:val="18"/>
  </w:num>
  <w:num w:numId="10">
    <w:abstractNumId w:val="9"/>
  </w:num>
  <w:num w:numId="11">
    <w:abstractNumId w:val="17"/>
  </w:num>
  <w:num w:numId="12">
    <w:abstractNumId w:val="11"/>
  </w:num>
  <w:num w:numId="13">
    <w:abstractNumId w:val="1"/>
  </w:num>
  <w:num w:numId="14">
    <w:abstractNumId w:val="0"/>
  </w:num>
  <w:num w:numId="15">
    <w:abstractNumId w:val="19"/>
  </w:num>
  <w:num w:numId="16">
    <w:abstractNumId w:val="12"/>
  </w:num>
  <w:num w:numId="17">
    <w:abstractNumId w:val="2"/>
  </w:num>
  <w:num w:numId="18">
    <w:abstractNumId w:val="13"/>
  </w:num>
  <w:num w:numId="19">
    <w:abstractNumId w:val="7"/>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B2F"/>
    <w:rsid w:val="00001D6B"/>
    <w:rsid w:val="00001E2F"/>
    <w:rsid w:val="00002389"/>
    <w:rsid w:val="000025C6"/>
    <w:rsid w:val="00003606"/>
    <w:rsid w:val="000043F8"/>
    <w:rsid w:val="000048B0"/>
    <w:rsid w:val="00004FA3"/>
    <w:rsid w:val="00005B01"/>
    <w:rsid w:val="00007563"/>
    <w:rsid w:val="00007F77"/>
    <w:rsid w:val="000101E4"/>
    <w:rsid w:val="0001103A"/>
    <w:rsid w:val="000120EF"/>
    <w:rsid w:val="000130AA"/>
    <w:rsid w:val="000131EF"/>
    <w:rsid w:val="00013628"/>
    <w:rsid w:val="00014334"/>
    <w:rsid w:val="00015A92"/>
    <w:rsid w:val="00015D58"/>
    <w:rsid w:val="00016232"/>
    <w:rsid w:val="00017AB0"/>
    <w:rsid w:val="000202D4"/>
    <w:rsid w:val="0002052D"/>
    <w:rsid w:val="000206F2"/>
    <w:rsid w:val="00020A6F"/>
    <w:rsid w:val="00021007"/>
    <w:rsid w:val="00022C9F"/>
    <w:rsid w:val="00023BA8"/>
    <w:rsid w:val="0002422A"/>
    <w:rsid w:val="000247F9"/>
    <w:rsid w:val="00027967"/>
    <w:rsid w:val="00027E0E"/>
    <w:rsid w:val="00027E61"/>
    <w:rsid w:val="00027F48"/>
    <w:rsid w:val="0003072E"/>
    <w:rsid w:val="00030D69"/>
    <w:rsid w:val="00031806"/>
    <w:rsid w:val="00031F80"/>
    <w:rsid w:val="00033EF7"/>
    <w:rsid w:val="00034890"/>
    <w:rsid w:val="000348C1"/>
    <w:rsid w:val="00035097"/>
    <w:rsid w:val="00036482"/>
    <w:rsid w:val="000372DB"/>
    <w:rsid w:val="00037CC9"/>
    <w:rsid w:val="000405B1"/>
    <w:rsid w:val="00042DCC"/>
    <w:rsid w:val="00043D5F"/>
    <w:rsid w:val="000461C3"/>
    <w:rsid w:val="000469D0"/>
    <w:rsid w:val="00046E92"/>
    <w:rsid w:val="00050975"/>
    <w:rsid w:val="00050DF3"/>
    <w:rsid w:val="00050E5A"/>
    <w:rsid w:val="00051317"/>
    <w:rsid w:val="00051703"/>
    <w:rsid w:val="0005219D"/>
    <w:rsid w:val="000532AB"/>
    <w:rsid w:val="00053BD9"/>
    <w:rsid w:val="00054854"/>
    <w:rsid w:val="000554B0"/>
    <w:rsid w:val="00055892"/>
    <w:rsid w:val="00056102"/>
    <w:rsid w:val="00056289"/>
    <w:rsid w:val="00057D3B"/>
    <w:rsid w:val="00060571"/>
    <w:rsid w:val="00061D74"/>
    <w:rsid w:val="00062791"/>
    <w:rsid w:val="000636A6"/>
    <w:rsid w:val="00063EE4"/>
    <w:rsid w:val="0006404F"/>
    <w:rsid w:val="00064F2B"/>
    <w:rsid w:val="000650CF"/>
    <w:rsid w:val="0006590E"/>
    <w:rsid w:val="00066F56"/>
    <w:rsid w:val="000677EE"/>
    <w:rsid w:val="000679B3"/>
    <w:rsid w:val="00067F18"/>
    <w:rsid w:val="00070D08"/>
    <w:rsid w:val="000713B1"/>
    <w:rsid w:val="00071418"/>
    <w:rsid w:val="00071581"/>
    <w:rsid w:val="00072647"/>
    <w:rsid w:val="0007293A"/>
    <w:rsid w:val="00072D1F"/>
    <w:rsid w:val="0007366C"/>
    <w:rsid w:val="00074189"/>
    <w:rsid w:val="00074306"/>
    <w:rsid w:val="00077C7D"/>
    <w:rsid w:val="000807AE"/>
    <w:rsid w:val="00080C2C"/>
    <w:rsid w:val="00081AD6"/>
    <w:rsid w:val="0008269B"/>
    <w:rsid w:val="00083410"/>
    <w:rsid w:val="0008386F"/>
    <w:rsid w:val="000853F6"/>
    <w:rsid w:val="000867A8"/>
    <w:rsid w:val="00087036"/>
    <w:rsid w:val="00087EDB"/>
    <w:rsid w:val="000914A2"/>
    <w:rsid w:val="000918B5"/>
    <w:rsid w:val="00093C11"/>
    <w:rsid w:val="00094566"/>
    <w:rsid w:val="00094631"/>
    <w:rsid w:val="00094EA8"/>
    <w:rsid w:val="0009533A"/>
    <w:rsid w:val="00096382"/>
    <w:rsid w:val="00096F94"/>
    <w:rsid w:val="0009795C"/>
    <w:rsid w:val="00097F80"/>
    <w:rsid w:val="000A0CF5"/>
    <w:rsid w:val="000A1E61"/>
    <w:rsid w:val="000A2D2D"/>
    <w:rsid w:val="000A2E68"/>
    <w:rsid w:val="000A326F"/>
    <w:rsid w:val="000A45AB"/>
    <w:rsid w:val="000A5306"/>
    <w:rsid w:val="000A5A45"/>
    <w:rsid w:val="000A5AC2"/>
    <w:rsid w:val="000B0078"/>
    <w:rsid w:val="000B22CD"/>
    <w:rsid w:val="000B2615"/>
    <w:rsid w:val="000B28FE"/>
    <w:rsid w:val="000B3B58"/>
    <w:rsid w:val="000B3EFD"/>
    <w:rsid w:val="000B4253"/>
    <w:rsid w:val="000B52D9"/>
    <w:rsid w:val="000B659B"/>
    <w:rsid w:val="000B6AEF"/>
    <w:rsid w:val="000B6E9F"/>
    <w:rsid w:val="000C12E3"/>
    <w:rsid w:val="000C42F9"/>
    <w:rsid w:val="000C44FD"/>
    <w:rsid w:val="000C54ED"/>
    <w:rsid w:val="000C6143"/>
    <w:rsid w:val="000C6B07"/>
    <w:rsid w:val="000C7382"/>
    <w:rsid w:val="000D0059"/>
    <w:rsid w:val="000D08F8"/>
    <w:rsid w:val="000D10C9"/>
    <w:rsid w:val="000D1F0D"/>
    <w:rsid w:val="000D2387"/>
    <w:rsid w:val="000D35BD"/>
    <w:rsid w:val="000D4F83"/>
    <w:rsid w:val="000D71CF"/>
    <w:rsid w:val="000D7225"/>
    <w:rsid w:val="000D722C"/>
    <w:rsid w:val="000D7809"/>
    <w:rsid w:val="000E0485"/>
    <w:rsid w:val="000E2E7D"/>
    <w:rsid w:val="000E34A7"/>
    <w:rsid w:val="000E34F3"/>
    <w:rsid w:val="000E400B"/>
    <w:rsid w:val="000E4205"/>
    <w:rsid w:val="000E575B"/>
    <w:rsid w:val="000E6227"/>
    <w:rsid w:val="000E6310"/>
    <w:rsid w:val="000E7CF6"/>
    <w:rsid w:val="000E7E08"/>
    <w:rsid w:val="000E7E53"/>
    <w:rsid w:val="000F0433"/>
    <w:rsid w:val="000F0802"/>
    <w:rsid w:val="000F0B34"/>
    <w:rsid w:val="000F1D3C"/>
    <w:rsid w:val="000F2129"/>
    <w:rsid w:val="000F3DD2"/>
    <w:rsid w:val="000F4243"/>
    <w:rsid w:val="000F4ABF"/>
    <w:rsid w:val="000F5B66"/>
    <w:rsid w:val="000F5FF6"/>
    <w:rsid w:val="000F65C5"/>
    <w:rsid w:val="000F7056"/>
    <w:rsid w:val="000F7D2C"/>
    <w:rsid w:val="000F7F9F"/>
    <w:rsid w:val="00100F0C"/>
    <w:rsid w:val="001025A3"/>
    <w:rsid w:val="0010303D"/>
    <w:rsid w:val="001030B4"/>
    <w:rsid w:val="001036A0"/>
    <w:rsid w:val="0010457E"/>
    <w:rsid w:val="001065F5"/>
    <w:rsid w:val="00106AD4"/>
    <w:rsid w:val="00106C25"/>
    <w:rsid w:val="00106C69"/>
    <w:rsid w:val="00110417"/>
    <w:rsid w:val="00110A34"/>
    <w:rsid w:val="00111670"/>
    <w:rsid w:val="001116B6"/>
    <w:rsid w:val="00111E3E"/>
    <w:rsid w:val="001126F6"/>
    <w:rsid w:val="001128B8"/>
    <w:rsid w:val="00113CAA"/>
    <w:rsid w:val="0011567D"/>
    <w:rsid w:val="00115E7F"/>
    <w:rsid w:val="00121925"/>
    <w:rsid w:val="00122F58"/>
    <w:rsid w:val="0012352A"/>
    <w:rsid w:val="00123893"/>
    <w:rsid w:val="001238E9"/>
    <w:rsid w:val="0012411A"/>
    <w:rsid w:val="001242DE"/>
    <w:rsid w:val="00125B8C"/>
    <w:rsid w:val="0012647A"/>
    <w:rsid w:val="00126CA4"/>
    <w:rsid w:val="0013007E"/>
    <w:rsid w:val="00130849"/>
    <w:rsid w:val="00130EED"/>
    <w:rsid w:val="00130F7B"/>
    <w:rsid w:val="00132F8C"/>
    <w:rsid w:val="001334DD"/>
    <w:rsid w:val="0013364F"/>
    <w:rsid w:val="00133916"/>
    <w:rsid w:val="00133B98"/>
    <w:rsid w:val="00133F17"/>
    <w:rsid w:val="0013472F"/>
    <w:rsid w:val="00134733"/>
    <w:rsid w:val="001359ED"/>
    <w:rsid w:val="00136031"/>
    <w:rsid w:val="00136174"/>
    <w:rsid w:val="0013788B"/>
    <w:rsid w:val="0014066A"/>
    <w:rsid w:val="00140B25"/>
    <w:rsid w:val="00141246"/>
    <w:rsid w:val="001416EE"/>
    <w:rsid w:val="0014279A"/>
    <w:rsid w:val="00142AE4"/>
    <w:rsid w:val="001450DF"/>
    <w:rsid w:val="00145CA6"/>
    <w:rsid w:val="0014734D"/>
    <w:rsid w:val="00152B36"/>
    <w:rsid w:val="001530B2"/>
    <w:rsid w:val="001539BE"/>
    <w:rsid w:val="001543E7"/>
    <w:rsid w:val="00155147"/>
    <w:rsid w:val="00155B77"/>
    <w:rsid w:val="001602D7"/>
    <w:rsid w:val="00160569"/>
    <w:rsid w:val="001607BE"/>
    <w:rsid w:val="00161E2F"/>
    <w:rsid w:val="001624A3"/>
    <w:rsid w:val="001624CE"/>
    <w:rsid w:val="001624DA"/>
    <w:rsid w:val="00162BF5"/>
    <w:rsid w:val="001635F5"/>
    <w:rsid w:val="001639EF"/>
    <w:rsid w:val="001640D4"/>
    <w:rsid w:val="00165E23"/>
    <w:rsid w:val="00166B3A"/>
    <w:rsid w:val="00166CD4"/>
    <w:rsid w:val="00170099"/>
    <w:rsid w:val="00170194"/>
    <w:rsid w:val="00170927"/>
    <w:rsid w:val="0017092A"/>
    <w:rsid w:val="00170984"/>
    <w:rsid w:val="001722CD"/>
    <w:rsid w:val="001725B6"/>
    <w:rsid w:val="00172ACA"/>
    <w:rsid w:val="00172D8B"/>
    <w:rsid w:val="00172F57"/>
    <w:rsid w:val="00173177"/>
    <w:rsid w:val="00174417"/>
    <w:rsid w:val="001749CF"/>
    <w:rsid w:val="00175CEC"/>
    <w:rsid w:val="00176B8E"/>
    <w:rsid w:val="00176DCF"/>
    <w:rsid w:val="00177BCC"/>
    <w:rsid w:val="0018035B"/>
    <w:rsid w:val="00180DEC"/>
    <w:rsid w:val="00181CB9"/>
    <w:rsid w:val="0018251A"/>
    <w:rsid w:val="00183891"/>
    <w:rsid w:val="0018458D"/>
    <w:rsid w:val="001846FB"/>
    <w:rsid w:val="00185658"/>
    <w:rsid w:val="00185919"/>
    <w:rsid w:val="00190AA2"/>
    <w:rsid w:val="0019215D"/>
    <w:rsid w:val="00194059"/>
    <w:rsid w:val="00194E69"/>
    <w:rsid w:val="00197DD9"/>
    <w:rsid w:val="001A05F5"/>
    <w:rsid w:val="001A2CFB"/>
    <w:rsid w:val="001A46C0"/>
    <w:rsid w:val="001A57DB"/>
    <w:rsid w:val="001A586B"/>
    <w:rsid w:val="001A73F1"/>
    <w:rsid w:val="001A743E"/>
    <w:rsid w:val="001B043A"/>
    <w:rsid w:val="001B146C"/>
    <w:rsid w:val="001B1D26"/>
    <w:rsid w:val="001B1E1E"/>
    <w:rsid w:val="001B2F76"/>
    <w:rsid w:val="001B2F82"/>
    <w:rsid w:val="001B396B"/>
    <w:rsid w:val="001B4715"/>
    <w:rsid w:val="001B4B9C"/>
    <w:rsid w:val="001B5E33"/>
    <w:rsid w:val="001B7D0D"/>
    <w:rsid w:val="001B7F23"/>
    <w:rsid w:val="001C13E9"/>
    <w:rsid w:val="001C20D1"/>
    <w:rsid w:val="001C319E"/>
    <w:rsid w:val="001C3F7D"/>
    <w:rsid w:val="001C4148"/>
    <w:rsid w:val="001C5E04"/>
    <w:rsid w:val="001C78FF"/>
    <w:rsid w:val="001C7AE7"/>
    <w:rsid w:val="001D016F"/>
    <w:rsid w:val="001D03B6"/>
    <w:rsid w:val="001D0B29"/>
    <w:rsid w:val="001D1C27"/>
    <w:rsid w:val="001D204E"/>
    <w:rsid w:val="001D27D0"/>
    <w:rsid w:val="001D2A8B"/>
    <w:rsid w:val="001D2BA1"/>
    <w:rsid w:val="001D3862"/>
    <w:rsid w:val="001D3D33"/>
    <w:rsid w:val="001D438D"/>
    <w:rsid w:val="001D49AC"/>
    <w:rsid w:val="001D4BC9"/>
    <w:rsid w:val="001D4FE1"/>
    <w:rsid w:val="001D77C6"/>
    <w:rsid w:val="001D7888"/>
    <w:rsid w:val="001D78FF"/>
    <w:rsid w:val="001E0387"/>
    <w:rsid w:val="001E1E57"/>
    <w:rsid w:val="001E1FC6"/>
    <w:rsid w:val="001E223F"/>
    <w:rsid w:val="001E2B6E"/>
    <w:rsid w:val="001E4374"/>
    <w:rsid w:val="001E4A82"/>
    <w:rsid w:val="001E4C0D"/>
    <w:rsid w:val="001E4E95"/>
    <w:rsid w:val="001E5FBA"/>
    <w:rsid w:val="001E631F"/>
    <w:rsid w:val="001F0A69"/>
    <w:rsid w:val="001F1728"/>
    <w:rsid w:val="001F1774"/>
    <w:rsid w:val="001F24A4"/>
    <w:rsid w:val="001F2658"/>
    <w:rsid w:val="001F3560"/>
    <w:rsid w:val="001F3AD6"/>
    <w:rsid w:val="001F3CCB"/>
    <w:rsid w:val="001F46D5"/>
    <w:rsid w:val="001F4F46"/>
    <w:rsid w:val="001F5B12"/>
    <w:rsid w:val="001F5C21"/>
    <w:rsid w:val="001F6073"/>
    <w:rsid w:val="001F63BD"/>
    <w:rsid w:val="001F6775"/>
    <w:rsid w:val="001F69BF"/>
    <w:rsid w:val="002005FF"/>
    <w:rsid w:val="00200A0E"/>
    <w:rsid w:val="00200DF8"/>
    <w:rsid w:val="002016BF"/>
    <w:rsid w:val="002024E9"/>
    <w:rsid w:val="00203A58"/>
    <w:rsid w:val="002054DB"/>
    <w:rsid w:val="00206282"/>
    <w:rsid w:val="0020639A"/>
    <w:rsid w:val="00206ED3"/>
    <w:rsid w:val="0020755B"/>
    <w:rsid w:val="00210354"/>
    <w:rsid w:val="00210857"/>
    <w:rsid w:val="00210AFE"/>
    <w:rsid w:val="00210D30"/>
    <w:rsid w:val="002119A2"/>
    <w:rsid w:val="00213962"/>
    <w:rsid w:val="00216601"/>
    <w:rsid w:val="0022162D"/>
    <w:rsid w:val="002222A4"/>
    <w:rsid w:val="002224F0"/>
    <w:rsid w:val="00224B8A"/>
    <w:rsid w:val="00224F31"/>
    <w:rsid w:val="0022633B"/>
    <w:rsid w:val="00226F9D"/>
    <w:rsid w:val="00230F4A"/>
    <w:rsid w:val="00231C72"/>
    <w:rsid w:val="002320C7"/>
    <w:rsid w:val="0023523A"/>
    <w:rsid w:val="00235E45"/>
    <w:rsid w:val="0023664F"/>
    <w:rsid w:val="002366EB"/>
    <w:rsid w:val="00236A4E"/>
    <w:rsid w:val="00236EB7"/>
    <w:rsid w:val="00237631"/>
    <w:rsid w:val="00237FDB"/>
    <w:rsid w:val="0024053C"/>
    <w:rsid w:val="0024338D"/>
    <w:rsid w:val="00243629"/>
    <w:rsid w:val="002436C1"/>
    <w:rsid w:val="00243788"/>
    <w:rsid w:val="00243DF5"/>
    <w:rsid w:val="002441BB"/>
    <w:rsid w:val="00245106"/>
    <w:rsid w:val="00245D03"/>
    <w:rsid w:val="0024688C"/>
    <w:rsid w:val="00247A7D"/>
    <w:rsid w:val="00250DAF"/>
    <w:rsid w:val="0025150E"/>
    <w:rsid w:val="0025215F"/>
    <w:rsid w:val="00252B51"/>
    <w:rsid w:val="00252FF1"/>
    <w:rsid w:val="00253264"/>
    <w:rsid w:val="00253997"/>
    <w:rsid w:val="00253A8D"/>
    <w:rsid w:val="0025423C"/>
    <w:rsid w:val="00254A3C"/>
    <w:rsid w:val="00254A8B"/>
    <w:rsid w:val="00254B4A"/>
    <w:rsid w:val="00255254"/>
    <w:rsid w:val="00256E57"/>
    <w:rsid w:val="0025744E"/>
    <w:rsid w:val="00262060"/>
    <w:rsid w:val="00264A42"/>
    <w:rsid w:val="00265E97"/>
    <w:rsid w:val="0026641B"/>
    <w:rsid w:val="0026713D"/>
    <w:rsid w:val="002672C8"/>
    <w:rsid w:val="00267CC6"/>
    <w:rsid w:val="00270665"/>
    <w:rsid w:val="002723A5"/>
    <w:rsid w:val="00272B03"/>
    <w:rsid w:val="00272C53"/>
    <w:rsid w:val="00272E20"/>
    <w:rsid w:val="00273681"/>
    <w:rsid w:val="00274587"/>
    <w:rsid w:val="0027510A"/>
    <w:rsid w:val="00276883"/>
    <w:rsid w:val="00276B00"/>
    <w:rsid w:val="002770C9"/>
    <w:rsid w:val="00277C1F"/>
    <w:rsid w:val="00280589"/>
    <w:rsid w:val="00281EF2"/>
    <w:rsid w:val="002821D7"/>
    <w:rsid w:val="00282E61"/>
    <w:rsid w:val="00282F20"/>
    <w:rsid w:val="00282F5C"/>
    <w:rsid w:val="002835E9"/>
    <w:rsid w:val="00283E39"/>
    <w:rsid w:val="00286571"/>
    <w:rsid w:val="00286A20"/>
    <w:rsid w:val="00287B11"/>
    <w:rsid w:val="0029004F"/>
    <w:rsid w:val="00291B4A"/>
    <w:rsid w:val="00291B84"/>
    <w:rsid w:val="00291C31"/>
    <w:rsid w:val="00292B5E"/>
    <w:rsid w:val="002932FC"/>
    <w:rsid w:val="00293A89"/>
    <w:rsid w:val="00293FBC"/>
    <w:rsid w:val="00294431"/>
    <w:rsid w:val="00294B49"/>
    <w:rsid w:val="00295538"/>
    <w:rsid w:val="00297034"/>
    <w:rsid w:val="002A2202"/>
    <w:rsid w:val="002A23E0"/>
    <w:rsid w:val="002A2E20"/>
    <w:rsid w:val="002A32DF"/>
    <w:rsid w:val="002A336C"/>
    <w:rsid w:val="002A4DD2"/>
    <w:rsid w:val="002A5B1C"/>
    <w:rsid w:val="002A7DF5"/>
    <w:rsid w:val="002A7E94"/>
    <w:rsid w:val="002B0795"/>
    <w:rsid w:val="002B082C"/>
    <w:rsid w:val="002B1D8F"/>
    <w:rsid w:val="002B2620"/>
    <w:rsid w:val="002B313B"/>
    <w:rsid w:val="002B3225"/>
    <w:rsid w:val="002B3AAF"/>
    <w:rsid w:val="002B5694"/>
    <w:rsid w:val="002B5A73"/>
    <w:rsid w:val="002B6012"/>
    <w:rsid w:val="002B73E8"/>
    <w:rsid w:val="002B7DD3"/>
    <w:rsid w:val="002C021F"/>
    <w:rsid w:val="002C108C"/>
    <w:rsid w:val="002C10DD"/>
    <w:rsid w:val="002C1C8A"/>
    <w:rsid w:val="002C2056"/>
    <w:rsid w:val="002C23F7"/>
    <w:rsid w:val="002C3367"/>
    <w:rsid w:val="002C5770"/>
    <w:rsid w:val="002C608B"/>
    <w:rsid w:val="002C68E0"/>
    <w:rsid w:val="002C7CB4"/>
    <w:rsid w:val="002C7E29"/>
    <w:rsid w:val="002D2324"/>
    <w:rsid w:val="002D29FD"/>
    <w:rsid w:val="002D2A0A"/>
    <w:rsid w:val="002D2AEC"/>
    <w:rsid w:val="002D2C1F"/>
    <w:rsid w:val="002D2EE2"/>
    <w:rsid w:val="002D4E9A"/>
    <w:rsid w:val="002E0399"/>
    <w:rsid w:val="002E05A6"/>
    <w:rsid w:val="002E1111"/>
    <w:rsid w:val="002E1382"/>
    <w:rsid w:val="002E4764"/>
    <w:rsid w:val="002E6F55"/>
    <w:rsid w:val="002F04F7"/>
    <w:rsid w:val="002F0E4E"/>
    <w:rsid w:val="002F1300"/>
    <w:rsid w:val="002F344B"/>
    <w:rsid w:val="002F38F0"/>
    <w:rsid w:val="002F530E"/>
    <w:rsid w:val="002F582F"/>
    <w:rsid w:val="002F6206"/>
    <w:rsid w:val="002F709A"/>
    <w:rsid w:val="002F77A8"/>
    <w:rsid w:val="002F7F72"/>
    <w:rsid w:val="00301619"/>
    <w:rsid w:val="00301AD3"/>
    <w:rsid w:val="00302755"/>
    <w:rsid w:val="003038BD"/>
    <w:rsid w:val="00303C11"/>
    <w:rsid w:val="00304C13"/>
    <w:rsid w:val="003055CF"/>
    <w:rsid w:val="00305A15"/>
    <w:rsid w:val="00306353"/>
    <w:rsid w:val="00306D41"/>
    <w:rsid w:val="00307094"/>
    <w:rsid w:val="00307342"/>
    <w:rsid w:val="00310272"/>
    <w:rsid w:val="00310A72"/>
    <w:rsid w:val="00311C18"/>
    <w:rsid w:val="0031298C"/>
    <w:rsid w:val="0031385E"/>
    <w:rsid w:val="00313D52"/>
    <w:rsid w:val="00314235"/>
    <w:rsid w:val="003210D3"/>
    <w:rsid w:val="0032273F"/>
    <w:rsid w:val="00322BC7"/>
    <w:rsid w:val="00324E2B"/>
    <w:rsid w:val="003259F5"/>
    <w:rsid w:val="0032607C"/>
    <w:rsid w:val="00326E7B"/>
    <w:rsid w:val="003271C0"/>
    <w:rsid w:val="0033166C"/>
    <w:rsid w:val="00331675"/>
    <w:rsid w:val="0033358A"/>
    <w:rsid w:val="003342B8"/>
    <w:rsid w:val="00334733"/>
    <w:rsid w:val="0033504B"/>
    <w:rsid w:val="003362C7"/>
    <w:rsid w:val="00336A5A"/>
    <w:rsid w:val="00337787"/>
    <w:rsid w:val="00337AA0"/>
    <w:rsid w:val="00340469"/>
    <w:rsid w:val="00340C96"/>
    <w:rsid w:val="00340F90"/>
    <w:rsid w:val="00342ADB"/>
    <w:rsid w:val="00342B49"/>
    <w:rsid w:val="00343B0F"/>
    <w:rsid w:val="00346888"/>
    <w:rsid w:val="00346AC5"/>
    <w:rsid w:val="00347006"/>
    <w:rsid w:val="00347C86"/>
    <w:rsid w:val="00347D0D"/>
    <w:rsid w:val="003503AE"/>
    <w:rsid w:val="00351D8C"/>
    <w:rsid w:val="0035213A"/>
    <w:rsid w:val="00352C28"/>
    <w:rsid w:val="003532BE"/>
    <w:rsid w:val="00353419"/>
    <w:rsid w:val="00355122"/>
    <w:rsid w:val="00355D35"/>
    <w:rsid w:val="00356370"/>
    <w:rsid w:val="00360094"/>
    <w:rsid w:val="003610D6"/>
    <w:rsid w:val="00361313"/>
    <w:rsid w:val="00361E69"/>
    <w:rsid w:val="003627FB"/>
    <w:rsid w:val="00362826"/>
    <w:rsid w:val="0036403D"/>
    <w:rsid w:val="0036455C"/>
    <w:rsid w:val="0036520F"/>
    <w:rsid w:val="00366074"/>
    <w:rsid w:val="003668B4"/>
    <w:rsid w:val="00367122"/>
    <w:rsid w:val="003671A1"/>
    <w:rsid w:val="003674CC"/>
    <w:rsid w:val="003702CE"/>
    <w:rsid w:val="0037083D"/>
    <w:rsid w:val="00371CEE"/>
    <w:rsid w:val="00372402"/>
    <w:rsid w:val="003725B4"/>
    <w:rsid w:val="003726C4"/>
    <w:rsid w:val="003750B3"/>
    <w:rsid w:val="00375BEB"/>
    <w:rsid w:val="003767BD"/>
    <w:rsid w:val="00376909"/>
    <w:rsid w:val="003771CC"/>
    <w:rsid w:val="003800B4"/>
    <w:rsid w:val="003809E0"/>
    <w:rsid w:val="003814E2"/>
    <w:rsid w:val="00381AF1"/>
    <w:rsid w:val="00381E88"/>
    <w:rsid w:val="003821F9"/>
    <w:rsid w:val="003827CD"/>
    <w:rsid w:val="00382CF4"/>
    <w:rsid w:val="00383A99"/>
    <w:rsid w:val="00383D6D"/>
    <w:rsid w:val="00384D3B"/>
    <w:rsid w:val="003852EF"/>
    <w:rsid w:val="0038584E"/>
    <w:rsid w:val="003870EE"/>
    <w:rsid w:val="00390863"/>
    <w:rsid w:val="00390C78"/>
    <w:rsid w:val="00393452"/>
    <w:rsid w:val="003939DB"/>
    <w:rsid w:val="003949C1"/>
    <w:rsid w:val="00394C2C"/>
    <w:rsid w:val="00395C1B"/>
    <w:rsid w:val="0039628E"/>
    <w:rsid w:val="00396F85"/>
    <w:rsid w:val="0039723A"/>
    <w:rsid w:val="003A089D"/>
    <w:rsid w:val="003A1CB9"/>
    <w:rsid w:val="003A27B8"/>
    <w:rsid w:val="003A2D89"/>
    <w:rsid w:val="003A3465"/>
    <w:rsid w:val="003A3D8C"/>
    <w:rsid w:val="003A3F39"/>
    <w:rsid w:val="003A44A8"/>
    <w:rsid w:val="003A45DA"/>
    <w:rsid w:val="003A539D"/>
    <w:rsid w:val="003A547A"/>
    <w:rsid w:val="003A5FA1"/>
    <w:rsid w:val="003A689D"/>
    <w:rsid w:val="003A7623"/>
    <w:rsid w:val="003B14F1"/>
    <w:rsid w:val="003B26C5"/>
    <w:rsid w:val="003B3212"/>
    <w:rsid w:val="003B324C"/>
    <w:rsid w:val="003B6220"/>
    <w:rsid w:val="003B67D8"/>
    <w:rsid w:val="003B7083"/>
    <w:rsid w:val="003B76DC"/>
    <w:rsid w:val="003C1A98"/>
    <w:rsid w:val="003C1CC0"/>
    <w:rsid w:val="003C1E93"/>
    <w:rsid w:val="003C2547"/>
    <w:rsid w:val="003C2CED"/>
    <w:rsid w:val="003C3063"/>
    <w:rsid w:val="003C34D7"/>
    <w:rsid w:val="003C5489"/>
    <w:rsid w:val="003C54C5"/>
    <w:rsid w:val="003C596C"/>
    <w:rsid w:val="003C67DF"/>
    <w:rsid w:val="003C6A84"/>
    <w:rsid w:val="003C6E5E"/>
    <w:rsid w:val="003C7620"/>
    <w:rsid w:val="003D03AF"/>
    <w:rsid w:val="003D07CA"/>
    <w:rsid w:val="003D1EF9"/>
    <w:rsid w:val="003D1FE5"/>
    <w:rsid w:val="003D3735"/>
    <w:rsid w:val="003D3782"/>
    <w:rsid w:val="003D4868"/>
    <w:rsid w:val="003D4EF5"/>
    <w:rsid w:val="003D5148"/>
    <w:rsid w:val="003D5BCE"/>
    <w:rsid w:val="003D5C90"/>
    <w:rsid w:val="003D6081"/>
    <w:rsid w:val="003D6720"/>
    <w:rsid w:val="003D6B3F"/>
    <w:rsid w:val="003D74C0"/>
    <w:rsid w:val="003D7951"/>
    <w:rsid w:val="003D7E66"/>
    <w:rsid w:val="003E030F"/>
    <w:rsid w:val="003E07CF"/>
    <w:rsid w:val="003E122A"/>
    <w:rsid w:val="003E1EFB"/>
    <w:rsid w:val="003E2B26"/>
    <w:rsid w:val="003E4299"/>
    <w:rsid w:val="003E4849"/>
    <w:rsid w:val="003E53A3"/>
    <w:rsid w:val="003E70B9"/>
    <w:rsid w:val="003E7812"/>
    <w:rsid w:val="003F0B24"/>
    <w:rsid w:val="003F10FB"/>
    <w:rsid w:val="003F2136"/>
    <w:rsid w:val="003F277A"/>
    <w:rsid w:val="003F31E6"/>
    <w:rsid w:val="003F32FE"/>
    <w:rsid w:val="003F40F9"/>
    <w:rsid w:val="003F46B1"/>
    <w:rsid w:val="003F4C40"/>
    <w:rsid w:val="003F52FE"/>
    <w:rsid w:val="003F580D"/>
    <w:rsid w:val="003F61D7"/>
    <w:rsid w:val="00401ECB"/>
    <w:rsid w:val="00401F3A"/>
    <w:rsid w:val="004024F2"/>
    <w:rsid w:val="0040272E"/>
    <w:rsid w:val="00402EA0"/>
    <w:rsid w:val="00404196"/>
    <w:rsid w:val="004041C9"/>
    <w:rsid w:val="00404615"/>
    <w:rsid w:val="004079CC"/>
    <w:rsid w:val="004106A7"/>
    <w:rsid w:val="004108D9"/>
    <w:rsid w:val="00411174"/>
    <w:rsid w:val="00412823"/>
    <w:rsid w:val="0041382E"/>
    <w:rsid w:val="0041385F"/>
    <w:rsid w:val="00413D00"/>
    <w:rsid w:val="00414410"/>
    <w:rsid w:val="00414992"/>
    <w:rsid w:val="004149A1"/>
    <w:rsid w:val="004153ED"/>
    <w:rsid w:val="00415B87"/>
    <w:rsid w:val="00416ED0"/>
    <w:rsid w:val="004175B0"/>
    <w:rsid w:val="00421C9B"/>
    <w:rsid w:val="00421ED6"/>
    <w:rsid w:val="00426041"/>
    <w:rsid w:val="00426CBC"/>
    <w:rsid w:val="0043002F"/>
    <w:rsid w:val="004303B3"/>
    <w:rsid w:val="00430927"/>
    <w:rsid w:val="00430E35"/>
    <w:rsid w:val="0043308A"/>
    <w:rsid w:val="00433113"/>
    <w:rsid w:val="0043449C"/>
    <w:rsid w:val="00435D6C"/>
    <w:rsid w:val="00436036"/>
    <w:rsid w:val="0043673C"/>
    <w:rsid w:val="00437DA0"/>
    <w:rsid w:val="004412CE"/>
    <w:rsid w:val="00442603"/>
    <w:rsid w:val="0044335F"/>
    <w:rsid w:val="0044374B"/>
    <w:rsid w:val="004440FE"/>
    <w:rsid w:val="00444898"/>
    <w:rsid w:val="00444DED"/>
    <w:rsid w:val="004451D0"/>
    <w:rsid w:val="004453E6"/>
    <w:rsid w:val="00445E88"/>
    <w:rsid w:val="00446442"/>
    <w:rsid w:val="00447705"/>
    <w:rsid w:val="0044779E"/>
    <w:rsid w:val="00447FF9"/>
    <w:rsid w:val="00450F19"/>
    <w:rsid w:val="00452139"/>
    <w:rsid w:val="00453254"/>
    <w:rsid w:val="00453451"/>
    <w:rsid w:val="0045366F"/>
    <w:rsid w:val="00453F4D"/>
    <w:rsid w:val="00454E59"/>
    <w:rsid w:val="00455D49"/>
    <w:rsid w:val="00455DF1"/>
    <w:rsid w:val="00460877"/>
    <w:rsid w:val="00460F22"/>
    <w:rsid w:val="00461254"/>
    <w:rsid w:val="00461AED"/>
    <w:rsid w:val="004629B2"/>
    <w:rsid w:val="0046446A"/>
    <w:rsid w:val="004645D0"/>
    <w:rsid w:val="00464A97"/>
    <w:rsid w:val="00464FA6"/>
    <w:rsid w:val="004651E5"/>
    <w:rsid w:val="00465465"/>
    <w:rsid w:val="00466C27"/>
    <w:rsid w:val="00466C43"/>
    <w:rsid w:val="004676E4"/>
    <w:rsid w:val="0046796E"/>
    <w:rsid w:val="004707EC"/>
    <w:rsid w:val="00470F11"/>
    <w:rsid w:val="004716FE"/>
    <w:rsid w:val="0047173F"/>
    <w:rsid w:val="004720EA"/>
    <w:rsid w:val="004722FE"/>
    <w:rsid w:val="00472A2C"/>
    <w:rsid w:val="004739B2"/>
    <w:rsid w:val="00473C24"/>
    <w:rsid w:val="00474178"/>
    <w:rsid w:val="0047530A"/>
    <w:rsid w:val="004761F8"/>
    <w:rsid w:val="0047624F"/>
    <w:rsid w:val="00476551"/>
    <w:rsid w:val="00476764"/>
    <w:rsid w:val="00477506"/>
    <w:rsid w:val="004776A2"/>
    <w:rsid w:val="00477994"/>
    <w:rsid w:val="0048034F"/>
    <w:rsid w:val="00480D0C"/>
    <w:rsid w:val="00480ED0"/>
    <w:rsid w:val="004814DE"/>
    <w:rsid w:val="00481CB0"/>
    <w:rsid w:val="00482CC2"/>
    <w:rsid w:val="004835E4"/>
    <w:rsid w:val="0048481D"/>
    <w:rsid w:val="00484B5C"/>
    <w:rsid w:val="00484CF0"/>
    <w:rsid w:val="004856F7"/>
    <w:rsid w:val="004858BF"/>
    <w:rsid w:val="00486C77"/>
    <w:rsid w:val="00487169"/>
    <w:rsid w:val="00487EBB"/>
    <w:rsid w:val="00490284"/>
    <w:rsid w:val="0049042D"/>
    <w:rsid w:val="00490539"/>
    <w:rsid w:val="004907EE"/>
    <w:rsid w:val="004910C2"/>
    <w:rsid w:val="00491342"/>
    <w:rsid w:val="00491B25"/>
    <w:rsid w:val="00491FCB"/>
    <w:rsid w:val="004925DF"/>
    <w:rsid w:val="0049261E"/>
    <w:rsid w:val="004929D1"/>
    <w:rsid w:val="004939CA"/>
    <w:rsid w:val="00497627"/>
    <w:rsid w:val="00497D5C"/>
    <w:rsid w:val="004A0025"/>
    <w:rsid w:val="004A11E1"/>
    <w:rsid w:val="004A1C66"/>
    <w:rsid w:val="004A243A"/>
    <w:rsid w:val="004A2756"/>
    <w:rsid w:val="004A2D4F"/>
    <w:rsid w:val="004A3CDA"/>
    <w:rsid w:val="004A43DB"/>
    <w:rsid w:val="004A49CD"/>
    <w:rsid w:val="004A4AED"/>
    <w:rsid w:val="004A5659"/>
    <w:rsid w:val="004A58D1"/>
    <w:rsid w:val="004A5E88"/>
    <w:rsid w:val="004A65C0"/>
    <w:rsid w:val="004A6C11"/>
    <w:rsid w:val="004B07AF"/>
    <w:rsid w:val="004B1BA9"/>
    <w:rsid w:val="004B1E66"/>
    <w:rsid w:val="004B25F5"/>
    <w:rsid w:val="004B3028"/>
    <w:rsid w:val="004B4001"/>
    <w:rsid w:val="004B4B39"/>
    <w:rsid w:val="004B4F6D"/>
    <w:rsid w:val="004B4FB9"/>
    <w:rsid w:val="004B6EA9"/>
    <w:rsid w:val="004B7272"/>
    <w:rsid w:val="004B735F"/>
    <w:rsid w:val="004B77FF"/>
    <w:rsid w:val="004C0F0C"/>
    <w:rsid w:val="004C1242"/>
    <w:rsid w:val="004C12D2"/>
    <w:rsid w:val="004C1C90"/>
    <w:rsid w:val="004C38D6"/>
    <w:rsid w:val="004C49FA"/>
    <w:rsid w:val="004C4C9B"/>
    <w:rsid w:val="004C51CB"/>
    <w:rsid w:val="004C715E"/>
    <w:rsid w:val="004C7C47"/>
    <w:rsid w:val="004D0388"/>
    <w:rsid w:val="004D0478"/>
    <w:rsid w:val="004D0A93"/>
    <w:rsid w:val="004D1250"/>
    <w:rsid w:val="004D1414"/>
    <w:rsid w:val="004D20F5"/>
    <w:rsid w:val="004D2EC3"/>
    <w:rsid w:val="004D34DD"/>
    <w:rsid w:val="004D382B"/>
    <w:rsid w:val="004D3B10"/>
    <w:rsid w:val="004D4F53"/>
    <w:rsid w:val="004D5F3E"/>
    <w:rsid w:val="004D6E8F"/>
    <w:rsid w:val="004D73A7"/>
    <w:rsid w:val="004D7BA3"/>
    <w:rsid w:val="004E17BA"/>
    <w:rsid w:val="004E2439"/>
    <w:rsid w:val="004E3B45"/>
    <w:rsid w:val="004E3C6A"/>
    <w:rsid w:val="004E645B"/>
    <w:rsid w:val="004E6AF7"/>
    <w:rsid w:val="004F0EEA"/>
    <w:rsid w:val="004F1976"/>
    <w:rsid w:val="004F20D7"/>
    <w:rsid w:val="004F23A8"/>
    <w:rsid w:val="004F3AC9"/>
    <w:rsid w:val="004F3E60"/>
    <w:rsid w:val="004F41B3"/>
    <w:rsid w:val="004F45C3"/>
    <w:rsid w:val="004F46F0"/>
    <w:rsid w:val="004F4F78"/>
    <w:rsid w:val="004F55EC"/>
    <w:rsid w:val="004F64C1"/>
    <w:rsid w:val="004F6903"/>
    <w:rsid w:val="00500753"/>
    <w:rsid w:val="005012FC"/>
    <w:rsid w:val="005013A2"/>
    <w:rsid w:val="0050227A"/>
    <w:rsid w:val="005027E9"/>
    <w:rsid w:val="00502885"/>
    <w:rsid w:val="0050386F"/>
    <w:rsid w:val="00504709"/>
    <w:rsid w:val="005059A6"/>
    <w:rsid w:val="00505B87"/>
    <w:rsid w:val="00507959"/>
    <w:rsid w:val="00507BAE"/>
    <w:rsid w:val="00510205"/>
    <w:rsid w:val="00510526"/>
    <w:rsid w:val="00510823"/>
    <w:rsid w:val="00510B1C"/>
    <w:rsid w:val="0051208D"/>
    <w:rsid w:val="00512FB1"/>
    <w:rsid w:val="005142C9"/>
    <w:rsid w:val="00514531"/>
    <w:rsid w:val="005152A4"/>
    <w:rsid w:val="00515789"/>
    <w:rsid w:val="00516DA1"/>
    <w:rsid w:val="005201F1"/>
    <w:rsid w:val="00520ACC"/>
    <w:rsid w:val="00520B0B"/>
    <w:rsid w:val="00520DB0"/>
    <w:rsid w:val="005212D4"/>
    <w:rsid w:val="005212DC"/>
    <w:rsid w:val="0052145D"/>
    <w:rsid w:val="00523EAC"/>
    <w:rsid w:val="0052415B"/>
    <w:rsid w:val="00524AF2"/>
    <w:rsid w:val="005266CB"/>
    <w:rsid w:val="00527342"/>
    <w:rsid w:val="005278A2"/>
    <w:rsid w:val="005278DA"/>
    <w:rsid w:val="00527FBD"/>
    <w:rsid w:val="00527FBE"/>
    <w:rsid w:val="005300C9"/>
    <w:rsid w:val="005303CB"/>
    <w:rsid w:val="0053069A"/>
    <w:rsid w:val="005308B0"/>
    <w:rsid w:val="005315BB"/>
    <w:rsid w:val="00533CBF"/>
    <w:rsid w:val="0053444E"/>
    <w:rsid w:val="00534CE2"/>
    <w:rsid w:val="00534DA6"/>
    <w:rsid w:val="0053510C"/>
    <w:rsid w:val="00535339"/>
    <w:rsid w:val="005362B4"/>
    <w:rsid w:val="0053633A"/>
    <w:rsid w:val="005369FC"/>
    <w:rsid w:val="0053720E"/>
    <w:rsid w:val="005373C3"/>
    <w:rsid w:val="005400DC"/>
    <w:rsid w:val="00540C57"/>
    <w:rsid w:val="00542434"/>
    <w:rsid w:val="00542CCA"/>
    <w:rsid w:val="0054309D"/>
    <w:rsid w:val="00543141"/>
    <w:rsid w:val="005436F3"/>
    <w:rsid w:val="00543E57"/>
    <w:rsid w:val="00544082"/>
    <w:rsid w:val="00544451"/>
    <w:rsid w:val="005449D5"/>
    <w:rsid w:val="00544A6C"/>
    <w:rsid w:val="00544CC2"/>
    <w:rsid w:val="005450C7"/>
    <w:rsid w:val="00545396"/>
    <w:rsid w:val="005466A7"/>
    <w:rsid w:val="00547E55"/>
    <w:rsid w:val="00551427"/>
    <w:rsid w:val="00551C0A"/>
    <w:rsid w:val="005532BD"/>
    <w:rsid w:val="00553481"/>
    <w:rsid w:val="00553D14"/>
    <w:rsid w:val="00554430"/>
    <w:rsid w:val="0055650D"/>
    <w:rsid w:val="0055740A"/>
    <w:rsid w:val="00560551"/>
    <w:rsid w:val="00560C1D"/>
    <w:rsid w:val="005616BB"/>
    <w:rsid w:val="00561D8C"/>
    <w:rsid w:val="00561FE9"/>
    <w:rsid w:val="005625AE"/>
    <w:rsid w:val="00562804"/>
    <w:rsid w:val="00564F46"/>
    <w:rsid w:val="00565828"/>
    <w:rsid w:val="005659B2"/>
    <w:rsid w:val="005661FD"/>
    <w:rsid w:val="00566CB6"/>
    <w:rsid w:val="00566F54"/>
    <w:rsid w:val="00567077"/>
    <w:rsid w:val="00567AAC"/>
    <w:rsid w:val="00570101"/>
    <w:rsid w:val="00570B5D"/>
    <w:rsid w:val="00570E1D"/>
    <w:rsid w:val="00571C2C"/>
    <w:rsid w:val="00572545"/>
    <w:rsid w:val="00572A2F"/>
    <w:rsid w:val="00572C28"/>
    <w:rsid w:val="00572D91"/>
    <w:rsid w:val="00574893"/>
    <w:rsid w:val="00574A2E"/>
    <w:rsid w:val="00575E03"/>
    <w:rsid w:val="00576A7C"/>
    <w:rsid w:val="00576B9E"/>
    <w:rsid w:val="00577555"/>
    <w:rsid w:val="005775A5"/>
    <w:rsid w:val="0057778D"/>
    <w:rsid w:val="00577DAB"/>
    <w:rsid w:val="005803F4"/>
    <w:rsid w:val="005803FA"/>
    <w:rsid w:val="00581ABA"/>
    <w:rsid w:val="00581E78"/>
    <w:rsid w:val="005821D1"/>
    <w:rsid w:val="005839FA"/>
    <w:rsid w:val="00583A5E"/>
    <w:rsid w:val="0058555A"/>
    <w:rsid w:val="00587BF7"/>
    <w:rsid w:val="005900ED"/>
    <w:rsid w:val="0059032F"/>
    <w:rsid w:val="00590CD8"/>
    <w:rsid w:val="00593310"/>
    <w:rsid w:val="005935C1"/>
    <w:rsid w:val="0059440A"/>
    <w:rsid w:val="00595C4D"/>
    <w:rsid w:val="00596453"/>
    <w:rsid w:val="0059742D"/>
    <w:rsid w:val="00597498"/>
    <w:rsid w:val="0059767A"/>
    <w:rsid w:val="00597A5A"/>
    <w:rsid w:val="005A0EB9"/>
    <w:rsid w:val="005A1F05"/>
    <w:rsid w:val="005A2E37"/>
    <w:rsid w:val="005A3505"/>
    <w:rsid w:val="005A4B7D"/>
    <w:rsid w:val="005A4D2A"/>
    <w:rsid w:val="005A6007"/>
    <w:rsid w:val="005A6752"/>
    <w:rsid w:val="005A6DE4"/>
    <w:rsid w:val="005A7236"/>
    <w:rsid w:val="005A7DF5"/>
    <w:rsid w:val="005B08B3"/>
    <w:rsid w:val="005B0F07"/>
    <w:rsid w:val="005B16D7"/>
    <w:rsid w:val="005B1722"/>
    <w:rsid w:val="005B1B26"/>
    <w:rsid w:val="005B1BB5"/>
    <w:rsid w:val="005B2156"/>
    <w:rsid w:val="005B27D1"/>
    <w:rsid w:val="005B3AC2"/>
    <w:rsid w:val="005B3DCC"/>
    <w:rsid w:val="005B4027"/>
    <w:rsid w:val="005B62FA"/>
    <w:rsid w:val="005B6576"/>
    <w:rsid w:val="005B6DB4"/>
    <w:rsid w:val="005B7000"/>
    <w:rsid w:val="005C09F1"/>
    <w:rsid w:val="005C1CF3"/>
    <w:rsid w:val="005C1D7C"/>
    <w:rsid w:val="005C27DE"/>
    <w:rsid w:val="005C37A8"/>
    <w:rsid w:val="005C3B0D"/>
    <w:rsid w:val="005C4B2D"/>
    <w:rsid w:val="005C56DE"/>
    <w:rsid w:val="005C5BC2"/>
    <w:rsid w:val="005C60F8"/>
    <w:rsid w:val="005C6C75"/>
    <w:rsid w:val="005C72E9"/>
    <w:rsid w:val="005C730F"/>
    <w:rsid w:val="005C79F4"/>
    <w:rsid w:val="005C7D63"/>
    <w:rsid w:val="005D0660"/>
    <w:rsid w:val="005D06E7"/>
    <w:rsid w:val="005D38CB"/>
    <w:rsid w:val="005D4D03"/>
    <w:rsid w:val="005D5292"/>
    <w:rsid w:val="005D5470"/>
    <w:rsid w:val="005D637B"/>
    <w:rsid w:val="005D6C7B"/>
    <w:rsid w:val="005D74B8"/>
    <w:rsid w:val="005E14F6"/>
    <w:rsid w:val="005E162C"/>
    <w:rsid w:val="005E26A1"/>
    <w:rsid w:val="005E2D33"/>
    <w:rsid w:val="005E3D2C"/>
    <w:rsid w:val="005E494F"/>
    <w:rsid w:val="005E4DEC"/>
    <w:rsid w:val="005E5312"/>
    <w:rsid w:val="005E588E"/>
    <w:rsid w:val="005E5F0F"/>
    <w:rsid w:val="005E6A52"/>
    <w:rsid w:val="005F0E22"/>
    <w:rsid w:val="005F15EA"/>
    <w:rsid w:val="005F1604"/>
    <w:rsid w:val="005F24F4"/>
    <w:rsid w:val="005F2903"/>
    <w:rsid w:val="005F31D7"/>
    <w:rsid w:val="005F3AA3"/>
    <w:rsid w:val="005F537F"/>
    <w:rsid w:val="005F7D07"/>
    <w:rsid w:val="005F7F0E"/>
    <w:rsid w:val="0060020D"/>
    <w:rsid w:val="006012D4"/>
    <w:rsid w:val="00602794"/>
    <w:rsid w:val="00604045"/>
    <w:rsid w:val="00604135"/>
    <w:rsid w:val="006058CB"/>
    <w:rsid w:val="0060650C"/>
    <w:rsid w:val="00606A32"/>
    <w:rsid w:val="0060733C"/>
    <w:rsid w:val="00607AE7"/>
    <w:rsid w:val="00610268"/>
    <w:rsid w:val="0061140B"/>
    <w:rsid w:val="00612945"/>
    <w:rsid w:val="00612DC2"/>
    <w:rsid w:val="00612DF2"/>
    <w:rsid w:val="00613453"/>
    <w:rsid w:val="00613CCF"/>
    <w:rsid w:val="00613EA8"/>
    <w:rsid w:val="00614271"/>
    <w:rsid w:val="0061470B"/>
    <w:rsid w:val="0061553E"/>
    <w:rsid w:val="0061636B"/>
    <w:rsid w:val="00616AE1"/>
    <w:rsid w:val="00617F6B"/>
    <w:rsid w:val="0062048C"/>
    <w:rsid w:val="00620561"/>
    <w:rsid w:val="0062067C"/>
    <w:rsid w:val="006214AD"/>
    <w:rsid w:val="00622E66"/>
    <w:rsid w:val="0062346A"/>
    <w:rsid w:val="006235C4"/>
    <w:rsid w:val="00624A82"/>
    <w:rsid w:val="00625592"/>
    <w:rsid w:val="00625863"/>
    <w:rsid w:val="00625F67"/>
    <w:rsid w:val="006260E5"/>
    <w:rsid w:val="006263FF"/>
    <w:rsid w:val="00627B69"/>
    <w:rsid w:val="0063129D"/>
    <w:rsid w:val="006316F1"/>
    <w:rsid w:val="006324A1"/>
    <w:rsid w:val="00633754"/>
    <w:rsid w:val="00634BCD"/>
    <w:rsid w:val="00634D59"/>
    <w:rsid w:val="00635E85"/>
    <w:rsid w:val="00636406"/>
    <w:rsid w:val="00637091"/>
    <w:rsid w:val="006371FF"/>
    <w:rsid w:val="0064065F"/>
    <w:rsid w:val="00641C39"/>
    <w:rsid w:val="00642014"/>
    <w:rsid w:val="0064299A"/>
    <w:rsid w:val="00642F52"/>
    <w:rsid w:val="00643716"/>
    <w:rsid w:val="00644A75"/>
    <w:rsid w:val="006472A0"/>
    <w:rsid w:val="00650DAE"/>
    <w:rsid w:val="00651512"/>
    <w:rsid w:val="006521F3"/>
    <w:rsid w:val="00653E20"/>
    <w:rsid w:val="00654956"/>
    <w:rsid w:val="00654DE7"/>
    <w:rsid w:val="0065533C"/>
    <w:rsid w:val="00656A9D"/>
    <w:rsid w:val="00656F5E"/>
    <w:rsid w:val="00661486"/>
    <w:rsid w:val="00662CBC"/>
    <w:rsid w:val="006661F1"/>
    <w:rsid w:val="006661F5"/>
    <w:rsid w:val="00666AAB"/>
    <w:rsid w:val="0067038D"/>
    <w:rsid w:val="0067060C"/>
    <w:rsid w:val="00671A6A"/>
    <w:rsid w:val="006727C3"/>
    <w:rsid w:val="006729C0"/>
    <w:rsid w:val="00672EF8"/>
    <w:rsid w:val="00673DE0"/>
    <w:rsid w:val="00673F0C"/>
    <w:rsid w:val="00673F58"/>
    <w:rsid w:val="006742A1"/>
    <w:rsid w:val="00675DB3"/>
    <w:rsid w:val="00675E8A"/>
    <w:rsid w:val="00676A38"/>
    <w:rsid w:val="00680098"/>
    <w:rsid w:val="00680957"/>
    <w:rsid w:val="00682148"/>
    <w:rsid w:val="00686325"/>
    <w:rsid w:val="00686EC4"/>
    <w:rsid w:val="00687063"/>
    <w:rsid w:val="00687463"/>
    <w:rsid w:val="00687B92"/>
    <w:rsid w:val="00690D7A"/>
    <w:rsid w:val="00691425"/>
    <w:rsid w:val="006941F5"/>
    <w:rsid w:val="00695416"/>
    <w:rsid w:val="00695E17"/>
    <w:rsid w:val="00696763"/>
    <w:rsid w:val="0069734A"/>
    <w:rsid w:val="00697896"/>
    <w:rsid w:val="006A1349"/>
    <w:rsid w:val="006A139A"/>
    <w:rsid w:val="006A1939"/>
    <w:rsid w:val="006A1AA8"/>
    <w:rsid w:val="006A2DBA"/>
    <w:rsid w:val="006A2EC3"/>
    <w:rsid w:val="006A303A"/>
    <w:rsid w:val="006A414E"/>
    <w:rsid w:val="006A45A4"/>
    <w:rsid w:val="006A4CF2"/>
    <w:rsid w:val="006A6BB4"/>
    <w:rsid w:val="006B0367"/>
    <w:rsid w:val="006B04AC"/>
    <w:rsid w:val="006B147C"/>
    <w:rsid w:val="006B202A"/>
    <w:rsid w:val="006B296E"/>
    <w:rsid w:val="006B4802"/>
    <w:rsid w:val="006B4A11"/>
    <w:rsid w:val="006B5097"/>
    <w:rsid w:val="006B5516"/>
    <w:rsid w:val="006B5CD7"/>
    <w:rsid w:val="006B5D36"/>
    <w:rsid w:val="006B5E1C"/>
    <w:rsid w:val="006B65F9"/>
    <w:rsid w:val="006B6B45"/>
    <w:rsid w:val="006B75D1"/>
    <w:rsid w:val="006B7A09"/>
    <w:rsid w:val="006C07AB"/>
    <w:rsid w:val="006C42CE"/>
    <w:rsid w:val="006C5486"/>
    <w:rsid w:val="006C592D"/>
    <w:rsid w:val="006C5B7B"/>
    <w:rsid w:val="006C5F25"/>
    <w:rsid w:val="006C74B3"/>
    <w:rsid w:val="006D1D8F"/>
    <w:rsid w:val="006D302F"/>
    <w:rsid w:val="006D3791"/>
    <w:rsid w:val="006D3801"/>
    <w:rsid w:val="006D3D4A"/>
    <w:rsid w:val="006D3EDB"/>
    <w:rsid w:val="006D465F"/>
    <w:rsid w:val="006D50AA"/>
    <w:rsid w:val="006D67B8"/>
    <w:rsid w:val="006D7021"/>
    <w:rsid w:val="006D7209"/>
    <w:rsid w:val="006D7A98"/>
    <w:rsid w:val="006E11C9"/>
    <w:rsid w:val="006E19AC"/>
    <w:rsid w:val="006E1DB5"/>
    <w:rsid w:val="006E31AE"/>
    <w:rsid w:val="006E4984"/>
    <w:rsid w:val="006E5E71"/>
    <w:rsid w:val="006E6031"/>
    <w:rsid w:val="006E61F6"/>
    <w:rsid w:val="006E6C99"/>
    <w:rsid w:val="006F09E9"/>
    <w:rsid w:val="006F12AB"/>
    <w:rsid w:val="006F2895"/>
    <w:rsid w:val="006F32BF"/>
    <w:rsid w:val="006F3311"/>
    <w:rsid w:val="006F38F6"/>
    <w:rsid w:val="006F3989"/>
    <w:rsid w:val="006F4219"/>
    <w:rsid w:val="006F5694"/>
    <w:rsid w:val="006F575A"/>
    <w:rsid w:val="00700A73"/>
    <w:rsid w:val="007015E9"/>
    <w:rsid w:val="00701999"/>
    <w:rsid w:val="00702050"/>
    <w:rsid w:val="00702A10"/>
    <w:rsid w:val="00702F25"/>
    <w:rsid w:val="00703BC1"/>
    <w:rsid w:val="00704993"/>
    <w:rsid w:val="00704E19"/>
    <w:rsid w:val="00704ED8"/>
    <w:rsid w:val="0070601C"/>
    <w:rsid w:val="00707008"/>
    <w:rsid w:val="00707F81"/>
    <w:rsid w:val="00710993"/>
    <w:rsid w:val="00712884"/>
    <w:rsid w:val="00712CDA"/>
    <w:rsid w:val="00713C6D"/>
    <w:rsid w:val="00715090"/>
    <w:rsid w:val="00715379"/>
    <w:rsid w:val="00715606"/>
    <w:rsid w:val="0071587A"/>
    <w:rsid w:val="007159EB"/>
    <w:rsid w:val="00715DA9"/>
    <w:rsid w:val="007160E0"/>
    <w:rsid w:val="00716E3F"/>
    <w:rsid w:val="00717083"/>
    <w:rsid w:val="007176DE"/>
    <w:rsid w:val="00717DE7"/>
    <w:rsid w:val="00720629"/>
    <w:rsid w:val="007207AD"/>
    <w:rsid w:val="00720B16"/>
    <w:rsid w:val="007219C5"/>
    <w:rsid w:val="007223FC"/>
    <w:rsid w:val="00723E5F"/>
    <w:rsid w:val="00723FBC"/>
    <w:rsid w:val="007250A4"/>
    <w:rsid w:val="00725F23"/>
    <w:rsid w:val="007261C4"/>
    <w:rsid w:val="007267EB"/>
    <w:rsid w:val="0072737A"/>
    <w:rsid w:val="00730159"/>
    <w:rsid w:val="00730C0D"/>
    <w:rsid w:val="00730DA4"/>
    <w:rsid w:val="0073129C"/>
    <w:rsid w:val="00731E0C"/>
    <w:rsid w:val="007339DB"/>
    <w:rsid w:val="00734F65"/>
    <w:rsid w:val="007356FC"/>
    <w:rsid w:val="00735CE3"/>
    <w:rsid w:val="0073608D"/>
    <w:rsid w:val="00736DAE"/>
    <w:rsid w:val="00740180"/>
    <w:rsid w:val="0074099C"/>
    <w:rsid w:val="0074101E"/>
    <w:rsid w:val="0074150A"/>
    <w:rsid w:val="00741FEC"/>
    <w:rsid w:val="007433D3"/>
    <w:rsid w:val="00743F1B"/>
    <w:rsid w:val="007441F6"/>
    <w:rsid w:val="0074430F"/>
    <w:rsid w:val="007448B9"/>
    <w:rsid w:val="00746100"/>
    <w:rsid w:val="007468E9"/>
    <w:rsid w:val="00746B9B"/>
    <w:rsid w:val="00746BED"/>
    <w:rsid w:val="00747D71"/>
    <w:rsid w:val="00750288"/>
    <w:rsid w:val="007508D6"/>
    <w:rsid w:val="00750C83"/>
    <w:rsid w:val="007512E0"/>
    <w:rsid w:val="00751BF1"/>
    <w:rsid w:val="007537F1"/>
    <w:rsid w:val="007538D7"/>
    <w:rsid w:val="00755016"/>
    <w:rsid w:val="007567FF"/>
    <w:rsid w:val="00756DA9"/>
    <w:rsid w:val="0075794D"/>
    <w:rsid w:val="00760537"/>
    <w:rsid w:val="007608C8"/>
    <w:rsid w:val="00761696"/>
    <w:rsid w:val="00761834"/>
    <w:rsid w:val="00761D56"/>
    <w:rsid w:val="00761E14"/>
    <w:rsid w:val="007620D8"/>
    <w:rsid w:val="007631A8"/>
    <w:rsid w:val="0076420A"/>
    <w:rsid w:val="00764576"/>
    <w:rsid w:val="0076492F"/>
    <w:rsid w:val="00764D0F"/>
    <w:rsid w:val="00764ED5"/>
    <w:rsid w:val="007658F8"/>
    <w:rsid w:val="007665AE"/>
    <w:rsid w:val="007665E7"/>
    <w:rsid w:val="0076696B"/>
    <w:rsid w:val="00767076"/>
    <w:rsid w:val="00770DFC"/>
    <w:rsid w:val="00771845"/>
    <w:rsid w:val="0077236E"/>
    <w:rsid w:val="00773845"/>
    <w:rsid w:val="00775282"/>
    <w:rsid w:val="0077605D"/>
    <w:rsid w:val="007768BA"/>
    <w:rsid w:val="007801FF"/>
    <w:rsid w:val="00780896"/>
    <w:rsid w:val="00780E48"/>
    <w:rsid w:val="00780FF2"/>
    <w:rsid w:val="007815A1"/>
    <w:rsid w:val="00783BF6"/>
    <w:rsid w:val="0078501F"/>
    <w:rsid w:val="00785229"/>
    <w:rsid w:val="00787AD0"/>
    <w:rsid w:val="0079186B"/>
    <w:rsid w:val="007919EE"/>
    <w:rsid w:val="007921AF"/>
    <w:rsid w:val="00792775"/>
    <w:rsid w:val="0079299C"/>
    <w:rsid w:val="00792F10"/>
    <w:rsid w:val="00793079"/>
    <w:rsid w:val="00793312"/>
    <w:rsid w:val="00793932"/>
    <w:rsid w:val="00793A91"/>
    <w:rsid w:val="00795191"/>
    <w:rsid w:val="00796A9E"/>
    <w:rsid w:val="00796F17"/>
    <w:rsid w:val="00797087"/>
    <w:rsid w:val="00797687"/>
    <w:rsid w:val="007A0BE3"/>
    <w:rsid w:val="007A0D7C"/>
    <w:rsid w:val="007A0D88"/>
    <w:rsid w:val="007A25AF"/>
    <w:rsid w:val="007A30A5"/>
    <w:rsid w:val="007A5FB9"/>
    <w:rsid w:val="007A601B"/>
    <w:rsid w:val="007A6073"/>
    <w:rsid w:val="007A70C6"/>
    <w:rsid w:val="007B0E23"/>
    <w:rsid w:val="007B0FA2"/>
    <w:rsid w:val="007B11D0"/>
    <w:rsid w:val="007B1CB5"/>
    <w:rsid w:val="007B27E9"/>
    <w:rsid w:val="007B2987"/>
    <w:rsid w:val="007B56C8"/>
    <w:rsid w:val="007B586D"/>
    <w:rsid w:val="007B661E"/>
    <w:rsid w:val="007B6A8F"/>
    <w:rsid w:val="007B70D3"/>
    <w:rsid w:val="007C0643"/>
    <w:rsid w:val="007C1116"/>
    <w:rsid w:val="007C1D7C"/>
    <w:rsid w:val="007C3AA6"/>
    <w:rsid w:val="007C4EF2"/>
    <w:rsid w:val="007C55D4"/>
    <w:rsid w:val="007D093F"/>
    <w:rsid w:val="007D0BE8"/>
    <w:rsid w:val="007D1508"/>
    <w:rsid w:val="007D36CA"/>
    <w:rsid w:val="007D415B"/>
    <w:rsid w:val="007D4C02"/>
    <w:rsid w:val="007D5920"/>
    <w:rsid w:val="007D6731"/>
    <w:rsid w:val="007D6837"/>
    <w:rsid w:val="007D689F"/>
    <w:rsid w:val="007D7001"/>
    <w:rsid w:val="007D7101"/>
    <w:rsid w:val="007D782F"/>
    <w:rsid w:val="007D7E87"/>
    <w:rsid w:val="007E10DA"/>
    <w:rsid w:val="007E1ECC"/>
    <w:rsid w:val="007E205F"/>
    <w:rsid w:val="007E2A09"/>
    <w:rsid w:val="007E3E49"/>
    <w:rsid w:val="007E40DD"/>
    <w:rsid w:val="007E4D5F"/>
    <w:rsid w:val="007E7C73"/>
    <w:rsid w:val="007F0225"/>
    <w:rsid w:val="007F0AC8"/>
    <w:rsid w:val="007F0CB1"/>
    <w:rsid w:val="007F10CE"/>
    <w:rsid w:val="007F167C"/>
    <w:rsid w:val="007F2066"/>
    <w:rsid w:val="007F2962"/>
    <w:rsid w:val="007F2B93"/>
    <w:rsid w:val="007F2E40"/>
    <w:rsid w:val="007F3367"/>
    <w:rsid w:val="007F37A4"/>
    <w:rsid w:val="007F3924"/>
    <w:rsid w:val="007F3AEC"/>
    <w:rsid w:val="007F4005"/>
    <w:rsid w:val="007F4093"/>
    <w:rsid w:val="007F4EA3"/>
    <w:rsid w:val="007F64E9"/>
    <w:rsid w:val="007F6A85"/>
    <w:rsid w:val="007F6E58"/>
    <w:rsid w:val="007F7EFE"/>
    <w:rsid w:val="00800A2A"/>
    <w:rsid w:val="0080100B"/>
    <w:rsid w:val="00802421"/>
    <w:rsid w:val="00802684"/>
    <w:rsid w:val="00803598"/>
    <w:rsid w:val="00803820"/>
    <w:rsid w:val="00804380"/>
    <w:rsid w:val="00804490"/>
    <w:rsid w:val="008049F3"/>
    <w:rsid w:val="00804D8E"/>
    <w:rsid w:val="00806B2A"/>
    <w:rsid w:val="00807DC3"/>
    <w:rsid w:val="008100E5"/>
    <w:rsid w:val="00810DA4"/>
    <w:rsid w:val="00810F17"/>
    <w:rsid w:val="00811731"/>
    <w:rsid w:val="00811D3C"/>
    <w:rsid w:val="0081266C"/>
    <w:rsid w:val="00812D6B"/>
    <w:rsid w:val="0081309B"/>
    <w:rsid w:val="00813597"/>
    <w:rsid w:val="008138AD"/>
    <w:rsid w:val="00814A29"/>
    <w:rsid w:val="00816657"/>
    <w:rsid w:val="00817FEF"/>
    <w:rsid w:val="00820486"/>
    <w:rsid w:val="008207D6"/>
    <w:rsid w:val="00820999"/>
    <w:rsid w:val="00820F1F"/>
    <w:rsid w:val="008259B8"/>
    <w:rsid w:val="00825ADA"/>
    <w:rsid w:val="00825DEA"/>
    <w:rsid w:val="008279A8"/>
    <w:rsid w:val="00827E59"/>
    <w:rsid w:val="00827EA7"/>
    <w:rsid w:val="0083050A"/>
    <w:rsid w:val="00830547"/>
    <w:rsid w:val="00830D5E"/>
    <w:rsid w:val="0083160C"/>
    <w:rsid w:val="00832CEE"/>
    <w:rsid w:val="0083338A"/>
    <w:rsid w:val="00833410"/>
    <w:rsid w:val="00833923"/>
    <w:rsid w:val="00834CDA"/>
    <w:rsid w:val="00835C70"/>
    <w:rsid w:val="008362EF"/>
    <w:rsid w:val="008367C0"/>
    <w:rsid w:val="00836B0B"/>
    <w:rsid w:val="0083710E"/>
    <w:rsid w:val="0083734F"/>
    <w:rsid w:val="00837845"/>
    <w:rsid w:val="00840F68"/>
    <w:rsid w:val="008416BE"/>
    <w:rsid w:val="00841ACC"/>
    <w:rsid w:val="00842B7A"/>
    <w:rsid w:val="00843EBB"/>
    <w:rsid w:val="008443EB"/>
    <w:rsid w:val="00844E1C"/>
    <w:rsid w:val="00846D82"/>
    <w:rsid w:val="00850104"/>
    <w:rsid w:val="008510F2"/>
    <w:rsid w:val="00851593"/>
    <w:rsid w:val="00854456"/>
    <w:rsid w:val="00854727"/>
    <w:rsid w:val="00854DDC"/>
    <w:rsid w:val="00855674"/>
    <w:rsid w:val="00861AE4"/>
    <w:rsid w:val="00861E88"/>
    <w:rsid w:val="008623AA"/>
    <w:rsid w:val="0086291A"/>
    <w:rsid w:val="00862D4F"/>
    <w:rsid w:val="00865ACD"/>
    <w:rsid w:val="00867308"/>
    <w:rsid w:val="00867A01"/>
    <w:rsid w:val="0087024A"/>
    <w:rsid w:val="00871456"/>
    <w:rsid w:val="00872ABA"/>
    <w:rsid w:val="00872B47"/>
    <w:rsid w:val="00872FCE"/>
    <w:rsid w:val="0087358C"/>
    <w:rsid w:val="0087425F"/>
    <w:rsid w:val="00874EBD"/>
    <w:rsid w:val="00875DC4"/>
    <w:rsid w:val="008761FC"/>
    <w:rsid w:val="00876856"/>
    <w:rsid w:val="0087788E"/>
    <w:rsid w:val="00877D2F"/>
    <w:rsid w:val="008800C1"/>
    <w:rsid w:val="00880F0C"/>
    <w:rsid w:val="00881137"/>
    <w:rsid w:val="008829A2"/>
    <w:rsid w:val="00882AD1"/>
    <w:rsid w:val="00883A75"/>
    <w:rsid w:val="00883B8A"/>
    <w:rsid w:val="00883F46"/>
    <w:rsid w:val="00883F98"/>
    <w:rsid w:val="00884396"/>
    <w:rsid w:val="008843FC"/>
    <w:rsid w:val="0088463B"/>
    <w:rsid w:val="008861C5"/>
    <w:rsid w:val="008862BD"/>
    <w:rsid w:val="00886F17"/>
    <w:rsid w:val="008917E7"/>
    <w:rsid w:val="008919EC"/>
    <w:rsid w:val="00891BDF"/>
    <w:rsid w:val="00892508"/>
    <w:rsid w:val="00893970"/>
    <w:rsid w:val="00895BBE"/>
    <w:rsid w:val="008962E9"/>
    <w:rsid w:val="0089653C"/>
    <w:rsid w:val="0089774C"/>
    <w:rsid w:val="008A0DE6"/>
    <w:rsid w:val="008A1FF5"/>
    <w:rsid w:val="008A233D"/>
    <w:rsid w:val="008A237E"/>
    <w:rsid w:val="008A356F"/>
    <w:rsid w:val="008A37B9"/>
    <w:rsid w:val="008A447D"/>
    <w:rsid w:val="008A4AF5"/>
    <w:rsid w:val="008A4F12"/>
    <w:rsid w:val="008A53D6"/>
    <w:rsid w:val="008A62A5"/>
    <w:rsid w:val="008A7075"/>
    <w:rsid w:val="008A792B"/>
    <w:rsid w:val="008A7E2E"/>
    <w:rsid w:val="008B07A4"/>
    <w:rsid w:val="008B18AE"/>
    <w:rsid w:val="008B3124"/>
    <w:rsid w:val="008B3E56"/>
    <w:rsid w:val="008B577A"/>
    <w:rsid w:val="008B6744"/>
    <w:rsid w:val="008B71FF"/>
    <w:rsid w:val="008B72A5"/>
    <w:rsid w:val="008B7762"/>
    <w:rsid w:val="008C03E2"/>
    <w:rsid w:val="008C0421"/>
    <w:rsid w:val="008C0944"/>
    <w:rsid w:val="008C1918"/>
    <w:rsid w:val="008C1A51"/>
    <w:rsid w:val="008C2A4A"/>
    <w:rsid w:val="008C2F29"/>
    <w:rsid w:val="008C4272"/>
    <w:rsid w:val="008C4AD0"/>
    <w:rsid w:val="008C4B79"/>
    <w:rsid w:val="008C50D3"/>
    <w:rsid w:val="008C5E4E"/>
    <w:rsid w:val="008C5F9A"/>
    <w:rsid w:val="008C63CA"/>
    <w:rsid w:val="008C6740"/>
    <w:rsid w:val="008C6B30"/>
    <w:rsid w:val="008C7EEA"/>
    <w:rsid w:val="008D08E3"/>
    <w:rsid w:val="008D0BD7"/>
    <w:rsid w:val="008D3033"/>
    <w:rsid w:val="008D4055"/>
    <w:rsid w:val="008D493B"/>
    <w:rsid w:val="008D4A7C"/>
    <w:rsid w:val="008D51DA"/>
    <w:rsid w:val="008D524B"/>
    <w:rsid w:val="008D53A9"/>
    <w:rsid w:val="008D5615"/>
    <w:rsid w:val="008D5F0D"/>
    <w:rsid w:val="008D60E6"/>
    <w:rsid w:val="008D683A"/>
    <w:rsid w:val="008D7B17"/>
    <w:rsid w:val="008E0359"/>
    <w:rsid w:val="008E039D"/>
    <w:rsid w:val="008E0805"/>
    <w:rsid w:val="008E0FFB"/>
    <w:rsid w:val="008E11F0"/>
    <w:rsid w:val="008E23D0"/>
    <w:rsid w:val="008E2B4D"/>
    <w:rsid w:val="008E3094"/>
    <w:rsid w:val="008E3295"/>
    <w:rsid w:val="008E3532"/>
    <w:rsid w:val="008E35F7"/>
    <w:rsid w:val="008E3F54"/>
    <w:rsid w:val="008E48EA"/>
    <w:rsid w:val="008E49E4"/>
    <w:rsid w:val="008E55EA"/>
    <w:rsid w:val="008E5926"/>
    <w:rsid w:val="008E7105"/>
    <w:rsid w:val="008E75C5"/>
    <w:rsid w:val="008E7604"/>
    <w:rsid w:val="008E7887"/>
    <w:rsid w:val="008E7E6E"/>
    <w:rsid w:val="008F1194"/>
    <w:rsid w:val="008F11E3"/>
    <w:rsid w:val="008F1615"/>
    <w:rsid w:val="008F1816"/>
    <w:rsid w:val="008F1871"/>
    <w:rsid w:val="008F1884"/>
    <w:rsid w:val="008F20FA"/>
    <w:rsid w:val="008F237A"/>
    <w:rsid w:val="008F2796"/>
    <w:rsid w:val="008F29A9"/>
    <w:rsid w:val="008F34D3"/>
    <w:rsid w:val="008F5F55"/>
    <w:rsid w:val="008F66A7"/>
    <w:rsid w:val="008F6A2F"/>
    <w:rsid w:val="008F6B5E"/>
    <w:rsid w:val="008F755E"/>
    <w:rsid w:val="008F79D0"/>
    <w:rsid w:val="009008B1"/>
    <w:rsid w:val="00901193"/>
    <w:rsid w:val="009014E6"/>
    <w:rsid w:val="00902015"/>
    <w:rsid w:val="009021EE"/>
    <w:rsid w:val="00902471"/>
    <w:rsid w:val="0090323F"/>
    <w:rsid w:val="00903531"/>
    <w:rsid w:val="00904A65"/>
    <w:rsid w:val="00905793"/>
    <w:rsid w:val="00905FE5"/>
    <w:rsid w:val="00906800"/>
    <w:rsid w:val="00907263"/>
    <w:rsid w:val="0090768C"/>
    <w:rsid w:val="0091019D"/>
    <w:rsid w:val="009103EE"/>
    <w:rsid w:val="009123F6"/>
    <w:rsid w:val="00912B28"/>
    <w:rsid w:val="00912B7F"/>
    <w:rsid w:val="009132C9"/>
    <w:rsid w:val="00913E2A"/>
    <w:rsid w:val="00913EF8"/>
    <w:rsid w:val="0091468D"/>
    <w:rsid w:val="0091475E"/>
    <w:rsid w:val="00915341"/>
    <w:rsid w:val="00916155"/>
    <w:rsid w:val="009163B6"/>
    <w:rsid w:val="00916B61"/>
    <w:rsid w:val="00916CDE"/>
    <w:rsid w:val="00917ED2"/>
    <w:rsid w:val="00917F42"/>
    <w:rsid w:val="0092089A"/>
    <w:rsid w:val="00920CD5"/>
    <w:rsid w:val="009217A9"/>
    <w:rsid w:val="0092287C"/>
    <w:rsid w:val="00922F1E"/>
    <w:rsid w:val="00922F29"/>
    <w:rsid w:val="009231E6"/>
    <w:rsid w:val="00924634"/>
    <w:rsid w:val="0092497B"/>
    <w:rsid w:val="00924ED9"/>
    <w:rsid w:val="009274FA"/>
    <w:rsid w:val="0093042C"/>
    <w:rsid w:val="00930453"/>
    <w:rsid w:val="00931316"/>
    <w:rsid w:val="00932982"/>
    <w:rsid w:val="00933086"/>
    <w:rsid w:val="00933E38"/>
    <w:rsid w:val="00934A0F"/>
    <w:rsid w:val="009367EB"/>
    <w:rsid w:val="00937ED6"/>
    <w:rsid w:val="009406E7"/>
    <w:rsid w:val="00940B04"/>
    <w:rsid w:val="00940EB0"/>
    <w:rsid w:val="00941E97"/>
    <w:rsid w:val="00942124"/>
    <w:rsid w:val="009433A0"/>
    <w:rsid w:val="00943948"/>
    <w:rsid w:val="00943CD4"/>
    <w:rsid w:val="00944AB3"/>
    <w:rsid w:val="00946893"/>
    <w:rsid w:val="00950141"/>
    <w:rsid w:val="0095074C"/>
    <w:rsid w:val="00950840"/>
    <w:rsid w:val="00950BCE"/>
    <w:rsid w:val="00950E4D"/>
    <w:rsid w:val="00950FC7"/>
    <w:rsid w:val="00953FB3"/>
    <w:rsid w:val="0095455D"/>
    <w:rsid w:val="0095482D"/>
    <w:rsid w:val="009563AA"/>
    <w:rsid w:val="0095738C"/>
    <w:rsid w:val="00957540"/>
    <w:rsid w:val="009623A4"/>
    <w:rsid w:val="00964724"/>
    <w:rsid w:val="00964C1A"/>
    <w:rsid w:val="00964E99"/>
    <w:rsid w:val="00965097"/>
    <w:rsid w:val="0096515A"/>
    <w:rsid w:val="00965C79"/>
    <w:rsid w:val="00965F24"/>
    <w:rsid w:val="00965F7C"/>
    <w:rsid w:val="00965FB3"/>
    <w:rsid w:val="00966601"/>
    <w:rsid w:val="00967094"/>
    <w:rsid w:val="0096765C"/>
    <w:rsid w:val="00970079"/>
    <w:rsid w:val="009700A9"/>
    <w:rsid w:val="00970819"/>
    <w:rsid w:val="00970A79"/>
    <w:rsid w:val="00971162"/>
    <w:rsid w:val="00971CD5"/>
    <w:rsid w:val="0097367A"/>
    <w:rsid w:val="00973C9C"/>
    <w:rsid w:val="009748A7"/>
    <w:rsid w:val="009750BB"/>
    <w:rsid w:val="009752BD"/>
    <w:rsid w:val="009758CF"/>
    <w:rsid w:val="009760D2"/>
    <w:rsid w:val="00976C8D"/>
    <w:rsid w:val="00977774"/>
    <w:rsid w:val="009779C3"/>
    <w:rsid w:val="0098031A"/>
    <w:rsid w:val="00982CA9"/>
    <w:rsid w:val="0098589D"/>
    <w:rsid w:val="0098672A"/>
    <w:rsid w:val="00986A0B"/>
    <w:rsid w:val="009875D0"/>
    <w:rsid w:val="00990141"/>
    <w:rsid w:val="00990D6F"/>
    <w:rsid w:val="0099157D"/>
    <w:rsid w:val="0099378B"/>
    <w:rsid w:val="00993A67"/>
    <w:rsid w:val="00994D7F"/>
    <w:rsid w:val="009962A0"/>
    <w:rsid w:val="0099644E"/>
    <w:rsid w:val="0099649C"/>
    <w:rsid w:val="00996F8C"/>
    <w:rsid w:val="009976EF"/>
    <w:rsid w:val="009A0627"/>
    <w:rsid w:val="009A2423"/>
    <w:rsid w:val="009A44CB"/>
    <w:rsid w:val="009A454D"/>
    <w:rsid w:val="009A472B"/>
    <w:rsid w:val="009A5C14"/>
    <w:rsid w:val="009A7763"/>
    <w:rsid w:val="009A7B95"/>
    <w:rsid w:val="009A7C59"/>
    <w:rsid w:val="009A7F14"/>
    <w:rsid w:val="009B05E8"/>
    <w:rsid w:val="009B05F1"/>
    <w:rsid w:val="009B126C"/>
    <w:rsid w:val="009B1466"/>
    <w:rsid w:val="009B24CF"/>
    <w:rsid w:val="009B2CF2"/>
    <w:rsid w:val="009B30DC"/>
    <w:rsid w:val="009B45E7"/>
    <w:rsid w:val="009B493A"/>
    <w:rsid w:val="009B4DE3"/>
    <w:rsid w:val="009B6612"/>
    <w:rsid w:val="009B6A55"/>
    <w:rsid w:val="009C0048"/>
    <w:rsid w:val="009C0B36"/>
    <w:rsid w:val="009C158C"/>
    <w:rsid w:val="009C196E"/>
    <w:rsid w:val="009C2E58"/>
    <w:rsid w:val="009C3B52"/>
    <w:rsid w:val="009C40BE"/>
    <w:rsid w:val="009C40DF"/>
    <w:rsid w:val="009C455F"/>
    <w:rsid w:val="009C4A6F"/>
    <w:rsid w:val="009C6025"/>
    <w:rsid w:val="009C76A3"/>
    <w:rsid w:val="009C781F"/>
    <w:rsid w:val="009C791B"/>
    <w:rsid w:val="009C7A08"/>
    <w:rsid w:val="009D02E1"/>
    <w:rsid w:val="009D0E4E"/>
    <w:rsid w:val="009D127D"/>
    <w:rsid w:val="009D18A0"/>
    <w:rsid w:val="009D1BEE"/>
    <w:rsid w:val="009D1EF0"/>
    <w:rsid w:val="009D2082"/>
    <w:rsid w:val="009D34D4"/>
    <w:rsid w:val="009D375C"/>
    <w:rsid w:val="009D3A40"/>
    <w:rsid w:val="009D478F"/>
    <w:rsid w:val="009D479C"/>
    <w:rsid w:val="009D4DC3"/>
    <w:rsid w:val="009D5125"/>
    <w:rsid w:val="009D5ED6"/>
    <w:rsid w:val="009D669B"/>
    <w:rsid w:val="009D69A8"/>
    <w:rsid w:val="009D6C7E"/>
    <w:rsid w:val="009D705F"/>
    <w:rsid w:val="009D73BF"/>
    <w:rsid w:val="009D7BE9"/>
    <w:rsid w:val="009D7BFB"/>
    <w:rsid w:val="009D7E79"/>
    <w:rsid w:val="009E095E"/>
    <w:rsid w:val="009E1028"/>
    <w:rsid w:val="009E1143"/>
    <w:rsid w:val="009E1E3D"/>
    <w:rsid w:val="009E2925"/>
    <w:rsid w:val="009E2993"/>
    <w:rsid w:val="009E3549"/>
    <w:rsid w:val="009E409E"/>
    <w:rsid w:val="009E4EC0"/>
    <w:rsid w:val="009E5732"/>
    <w:rsid w:val="009E63C4"/>
    <w:rsid w:val="009E7131"/>
    <w:rsid w:val="009F0065"/>
    <w:rsid w:val="009F0651"/>
    <w:rsid w:val="009F0908"/>
    <w:rsid w:val="009F160E"/>
    <w:rsid w:val="009F1BCB"/>
    <w:rsid w:val="009F2488"/>
    <w:rsid w:val="009F421F"/>
    <w:rsid w:val="009F62DB"/>
    <w:rsid w:val="009F669D"/>
    <w:rsid w:val="009F6E81"/>
    <w:rsid w:val="009F6FCA"/>
    <w:rsid w:val="009F7321"/>
    <w:rsid w:val="009F77B1"/>
    <w:rsid w:val="00A00194"/>
    <w:rsid w:val="00A003DD"/>
    <w:rsid w:val="00A00568"/>
    <w:rsid w:val="00A00FD1"/>
    <w:rsid w:val="00A02556"/>
    <w:rsid w:val="00A02BF2"/>
    <w:rsid w:val="00A031F9"/>
    <w:rsid w:val="00A0399F"/>
    <w:rsid w:val="00A0406C"/>
    <w:rsid w:val="00A05284"/>
    <w:rsid w:val="00A05A0B"/>
    <w:rsid w:val="00A05E0C"/>
    <w:rsid w:val="00A062A6"/>
    <w:rsid w:val="00A07512"/>
    <w:rsid w:val="00A075F3"/>
    <w:rsid w:val="00A121F0"/>
    <w:rsid w:val="00A12FE6"/>
    <w:rsid w:val="00A13F54"/>
    <w:rsid w:val="00A1486A"/>
    <w:rsid w:val="00A14944"/>
    <w:rsid w:val="00A16B52"/>
    <w:rsid w:val="00A17DED"/>
    <w:rsid w:val="00A20102"/>
    <w:rsid w:val="00A2017E"/>
    <w:rsid w:val="00A2131E"/>
    <w:rsid w:val="00A22515"/>
    <w:rsid w:val="00A2337E"/>
    <w:rsid w:val="00A24765"/>
    <w:rsid w:val="00A24A28"/>
    <w:rsid w:val="00A24C31"/>
    <w:rsid w:val="00A24FA6"/>
    <w:rsid w:val="00A25060"/>
    <w:rsid w:val="00A2547A"/>
    <w:rsid w:val="00A25882"/>
    <w:rsid w:val="00A261BA"/>
    <w:rsid w:val="00A3030B"/>
    <w:rsid w:val="00A31B07"/>
    <w:rsid w:val="00A32DAE"/>
    <w:rsid w:val="00A33C0F"/>
    <w:rsid w:val="00A35F17"/>
    <w:rsid w:val="00A3639E"/>
    <w:rsid w:val="00A3659C"/>
    <w:rsid w:val="00A36A51"/>
    <w:rsid w:val="00A3750B"/>
    <w:rsid w:val="00A40328"/>
    <w:rsid w:val="00A403A8"/>
    <w:rsid w:val="00A404B2"/>
    <w:rsid w:val="00A412C2"/>
    <w:rsid w:val="00A41901"/>
    <w:rsid w:val="00A428F3"/>
    <w:rsid w:val="00A43301"/>
    <w:rsid w:val="00A43CA9"/>
    <w:rsid w:val="00A44509"/>
    <w:rsid w:val="00A446D4"/>
    <w:rsid w:val="00A4582E"/>
    <w:rsid w:val="00A466C5"/>
    <w:rsid w:val="00A472C5"/>
    <w:rsid w:val="00A4740D"/>
    <w:rsid w:val="00A50CD1"/>
    <w:rsid w:val="00A50DA3"/>
    <w:rsid w:val="00A50F59"/>
    <w:rsid w:val="00A52008"/>
    <w:rsid w:val="00A528CC"/>
    <w:rsid w:val="00A52EF0"/>
    <w:rsid w:val="00A53CE6"/>
    <w:rsid w:val="00A5472F"/>
    <w:rsid w:val="00A54975"/>
    <w:rsid w:val="00A54C4F"/>
    <w:rsid w:val="00A54C94"/>
    <w:rsid w:val="00A555D1"/>
    <w:rsid w:val="00A560DE"/>
    <w:rsid w:val="00A56F02"/>
    <w:rsid w:val="00A57FD5"/>
    <w:rsid w:val="00A60AB7"/>
    <w:rsid w:val="00A615FC"/>
    <w:rsid w:val="00A62028"/>
    <w:rsid w:val="00A6320B"/>
    <w:rsid w:val="00A63FA3"/>
    <w:rsid w:val="00A643BD"/>
    <w:rsid w:val="00A64491"/>
    <w:rsid w:val="00A666EB"/>
    <w:rsid w:val="00A66DA4"/>
    <w:rsid w:val="00A7108C"/>
    <w:rsid w:val="00A718E9"/>
    <w:rsid w:val="00A7441C"/>
    <w:rsid w:val="00A75036"/>
    <w:rsid w:val="00A7606A"/>
    <w:rsid w:val="00A7702A"/>
    <w:rsid w:val="00A77956"/>
    <w:rsid w:val="00A80332"/>
    <w:rsid w:val="00A80D18"/>
    <w:rsid w:val="00A81297"/>
    <w:rsid w:val="00A81EE4"/>
    <w:rsid w:val="00A824C9"/>
    <w:rsid w:val="00A829E3"/>
    <w:rsid w:val="00A83C15"/>
    <w:rsid w:val="00A84413"/>
    <w:rsid w:val="00A848A5"/>
    <w:rsid w:val="00A85069"/>
    <w:rsid w:val="00A851D3"/>
    <w:rsid w:val="00A85A4E"/>
    <w:rsid w:val="00A85C99"/>
    <w:rsid w:val="00A85F3A"/>
    <w:rsid w:val="00A86059"/>
    <w:rsid w:val="00A8682A"/>
    <w:rsid w:val="00A86C74"/>
    <w:rsid w:val="00A877EA"/>
    <w:rsid w:val="00A87CC6"/>
    <w:rsid w:val="00A90434"/>
    <w:rsid w:val="00A90848"/>
    <w:rsid w:val="00A90C30"/>
    <w:rsid w:val="00A90D44"/>
    <w:rsid w:val="00A90D5D"/>
    <w:rsid w:val="00A919A8"/>
    <w:rsid w:val="00A941A6"/>
    <w:rsid w:val="00A95130"/>
    <w:rsid w:val="00A95E04"/>
    <w:rsid w:val="00A9664D"/>
    <w:rsid w:val="00A9702D"/>
    <w:rsid w:val="00A97794"/>
    <w:rsid w:val="00AA09CE"/>
    <w:rsid w:val="00AA109A"/>
    <w:rsid w:val="00AA184D"/>
    <w:rsid w:val="00AA3ADF"/>
    <w:rsid w:val="00AA4945"/>
    <w:rsid w:val="00AA4CF5"/>
    <w:rsid w:val="00AA4F18"/>
    <w:rsid w:val="00AA5089"/>
    <w:rsid w:val="00AA7490"/>
    <w:rsid w:val="00AA7EB9"/>
    <w:rsid w:val="00AB0321"/>
    <w:rsid w:val="00AB13D8"/>
    <w:rsid w:val="00AB21EA"/>
    <w:rsid w:val="00AB22C2"/>
    <w:rsid w:val="00AB23B1"/>
    <w:rsid w:val="00AB29DA"/>
    <w:rsid w:val="00AB2D5C"/>
    <w:rsid w:val="00AB44ED"/>
    <w:rsid w:val="00AB51C0"/>
    <w:rsid w:val="00AB538D"/>
    <w:rsid w:val="00AB6BAC"/>
    <w:rsid w:val="00AB70F7"/>
    <w:rsid w:val="00AC0022"/>
    <w:rsid w:val="00AC0AB2"/>
    <w:rsid w:val="00AC12F5"/>
    <w:rsid w:val="00AC289B"/>
    <w:rsid w:val="00AC37A1"/>
    <w:rsid w:val="00AC5006"/>
    <w:rsid w:val="00AC56CE"/>
    <w:rsid w:val="00AC59CF"/>
    <w:rsid w:val="00AC604F"/>
    <w:rsid w:val="00AC69E5"/>
    <w:rsid w:val="00AC71B2"/>
    <w:rsid w:val="00AC7CB2"/>
    <w:rsid w:val="00AD0495"/>
    <w:rsid w:val="00AD25B3"/>
    <w:rsid w:val="00AD2C27"/>
    <w:rsid w:val="00AD2F15"/>
    <w:rsid w:val="00AD4224"/>
    <w:rsid w:val="00AD4E75"/>
    <w:rsid w:val="00AD523B"/>
    <w:rsid w:val="00AD6DC7"/>
    <w:rsid w:val="00AD74C8"/>
    <w:rsid w:val="00AE018F"/>
    <w:rsid w:val="00AE1909"/>
    <w:rsid w:val="00AE1E31"/>
    <w:rsid w:val="00AE1F27"/>
    <w:rsid w:val="00AE3181"/>
    <w:rsid w:val="00AE357C"/>
    <w:rsid w:val="00AE7531"/>
    <w:rsid w:val="00AE7EDF"/>
    <w:rsid w:val="00AF07F9"/>
    <w:rsid w:val="00AF165B"/>
    <w:rsid w:val="00AF2C19"/>
    <w:rsid w:val="00AF3257"/>
    <w:rsid w:val="00AF34AF"/>
    <w:rsid w:val="00AF3D16"/>
    <w:rsid w:val="00AF4186"/>
    <w:rsid w:val="00AF47A4"/>
    <w:rsid w:val="00AF6432"/>
    <w:rsid w:val="00AF687C"/>
    <w:rsid w:val="00AF6C4D"/>
    <w:rsid w:val="00B01120"/>
    <w:rsid w:val="00B01969"/>
    <w:rsid w:val="00B04BED"/>
    <w:rsid w:val="00B052CB"/>
    <w:rsid w:val="00B054AC"/>
    <w:rsid w:val="00B06368"/>
    <w:rsid w:val="00B0750E"/>
    <w:rsid w:val="00B10470"/>
    <w:rsid w:val="00B10AEC"/>
    <w:rsid w:val="00B11217"/>
    <w:rsid w:val="00B11660"/>
    <w:rsid w:val="00B120E4"/>
    <w:rsid w:val="00B12515"/>
    <w:rsid w:val="00B139D2"/>
    <w:rsid w:val="00B16963"/>
    <w:rsid w:val="00B16C3A"/>
    <w:rsid w:val="00B2044E"/>
    <w:rsid w:val="00B2115F"/>
    <w:rsid w:val="00B21902"/>
    <w:rsid w:val="00B21BA2"/>
    <w:rsid w:val="00B22768"/>
    <w:rsid w:val="00B22779"/>
    <w:rsid w:val="00B2314C"/>
    <w:rsid w:val="00B234B3"/>
    <w:rsid w:val="00B23C83"/>
    <w:rsid w:val="00B24E70"/>
    <w:rsid w:val="00B24FA2"/>
    <w:rsid w:val="00B30BB7"/>
    <w:rsid w:val="00B3110A"/>
    <w:rsid w:val="00B3166E"/>
    <w:rsid w:val="00B320FF"/>
    <w:rsid w:val="00B32620"/>
    <w:rsid w:val="00B32906"/>
    <w:rsid w:val="00B32B9E"/>
    <w:rsid w:val="00B32FB1"/>
    <w:rsid w:val="00B33921"/>
    <w:rsid w:val="00B33FCF"/>
    <w:rsid w:val="00B340E9"/>
    <w:rsid w:val="00B349EE"/>
    <w:rsid w:val="00B3528D"/>
    <w:rsid w:val="00B35AFE"/>
    <w:rsid w:val="00B35D3A"/>
    <w:rsid w:val="00B35E9F"/>
    <w:rsid w:val="00B372E0"/>
    <w:rsid w:val="00B4016D"/>
    <w:rsid w:val="00B40329"/>
    <w:rsid w:val="00B4063B"/>
    <w:rsid w:val="00B40B8D"/>
    <w:rsid w:val="00B4103B"/>
    <w:rsid w:val="00B41973"/>
    <w:rsid w:val="00B432A2"/>
    <w:rsid w:val="00B45440"/>
    <w:rsid w:val="00B50250"/>
    <w:rsid w:val="00B50F34"/>
    <w:rsid w:val="00B53839"/>
    <w:rsid w:val="00B5466A"/>
    <w:rsid w:val="00B546E5"/>
    <w:rsid w:val="00B548F1"/>
    <w:rsid w:val="00B54E07"/>
    <w:rsid w:val="00B565C8"/>
    <w:rsid w:val="00B56B0F"/>
    <w:rsid w:val="00B57F78"/>
    <w:rsid w:val="00B6141E"/>
    <w:rsid w:val="00B62F9E"/>
    <w:rsid w:val="00B64AF1"/>
    <w:rsid w:val="00B67ED0"/>
    <w:rsid w:val="00B70DE4"/>
    <w:rsid w:val="00B70E53"/>
    <w:rsid w:val="00B71451"/>
    <w:rsid w:val="00B71A00"/>
    <w:rsid w:val="00B74278"/>
    <w:rsid w:val="00B74705"/>
    <w:rsid w:val="00B74730"/>
    <w:rsid w:val="00B749D6"/>
    <w:rsid w:val="00B75149"/>
    <w:rsid w:val="00B75C22"/>
    <w:rsid w:val="00B768B6"/>
    <w:rsid w:val="00B76DEF"/>
    <w:rsid w:val="00B77767"/>
    <w:rsid w:val="00B803D6"/>
    <w:rsid w:val="00B8091A"/>
    <w:rsid w:val="00B8102E"/>
    <w:rsid w:val="00B82D90"/>
    <w:rsid w:val="00B83257"/>
    <w:rsid w:val="00B8475A"/>
    <w:rsid w:val="00B85199"/>
    <w:rsid w:val="00B87C37"/>
    <w:rsid w:val="00B903E3"/>
    <w:rsid w:val="00B90D14"/>
    <w:rsid w:val="00B911C2"/>
    <w:rsid w:val="00B9137C"/>
    <w:rsid w:val="00B91DF8"/>
    <w:rsid w:val="00B92C72"/>
    <w:rsid w:val="00B93396"/>
    <w:rsid w:val="00B93984"/>
    <w:rsid w:val="00B94B20"/>
    <w:rsid w:val="00B95300"/>
    <w:rsid w:val="00B9543E"/>
    <w:rsid w:val="00B9577C"/>
    <w:rsid w:val="00B9594C"/>
    <w:rsid w:val="00B96F03"/>
    <w:rsid w:val="00B9734C"/>
    <w:rsid w:val="00B97924"/>
    <w:rsid w:val="00BA0B05"/>
    <w:rsid w:val="00BA1C6F"/>
    <w:rsid w:val="00BA26EF"/>
    <w:rsid w:val="00BA2C03"/>
    <w:rsid w:val="00BA314C"/>
    <w:rsid w:val="00BA3969"/>
    <w:rsid w:val="00BA4235"/>
    <w:rsid w:val="00BA6C1F"/>
    <w:rsid w:val="00BA7AF1"/>
    <w:rsid w:val="00BA7DBE"/>
    <w:rsid w:val="00BB1E94"/>
    <w:rsid w:val="00BB1F4A"/>
    <w:rsid w:val="00BB24AC"/>
    <w:rsid w:val="00BB29AC"/>
    <w:rsid w:val="00BB51B9"/>
    <w:rsid w:val="00BB57F4"/>
    <w:rsid w:val="00BB64DA"/>
    <w:rsid w:val="00BB7712"/>
    <w:rsid w:val="00BB7A58"/>
    <w:rsid w:val="00BB7CB8"/>
    <w:rsid w:val="00BC039C"/>
    <w:rsid w:val="00BC0456"/>
    <w:rsid w:val="00BC177D"/>
    <w:rsid w:val="00BC1A41"/>
    <w:rsid w:val="00BC2114"/>
    <w:rsid w:val="00BC26B1"/>
    <w:rsid w:val="00BC2908"/>
    <w:rsid w:val="00BC34C2"/>
    <w:rsid w:val="00BC3FC3"/>
    <w:rsid w:val="00BC5224"/>
    <w:rsid w:val="00BC65D3"/>
    <w:rsid w:val="00BC6BAB"/>
    <w:rsid w:val="00BC6FDF"/>
    <w:rsid w:val="00BC7AE4"/>
    <w:rsid w:val="00BC7D35"/>
    <w:rsid w:val="00BC7D79"/>
    <w:rsid w:val="00BD02DD"/>
    <w:rsid w:val="00BD07DC"/>
    <w:rsid w:val="00BD09E2"/>
    <w:rsid w:val="00BD0AC0"/>
    <w:rsid w:val="00BD2E62"/>
    <w:rsid w:val="00BD4484"/>
    <w:rsid w:val="00BD4A4B"/>
    <w:rsid w:val="00BD4C27"/>
    <w:rsid w:val="00BD6907"/>
    <w:rsid w:val="00BD6E92"/>
    <w:rsid w:val="00BD769D"/>
    <w:rsid w:val="00BE0F25"/>
    <w:rsid w:val="00BE15D2"/>
    <w:rsid w:val="00BE23BB"/>
    <w:rsid w:val="00BE274E"/>
    <w:rsid w:val="00BE336C"/>
    <w:rsid w:val="00BE3502"/>
    <w:rsid w:val="00BE3ADC"/>
    <w:rsid w:val="00BE445D"/>
    <w:rsid w:val="00BE4D2C"/>
    <w:rsid w:val="00BE56D9"/>
    <w:rsid w:val="00BE7F6B"/>
    <w:rsid w:val="00BF0382"/>
    <w:rsid w:val="00BF082E"/>
    <w:rsid w:val="00BF0988"/>
    <w:rsid w:val="00BF1B21"/>
    <w:rsid w:val="00BF1E0A"/>
    <w:rsid w:val="00BF27E9"/>
    <w:rsid w:val="00BF2A73"/>
    <w:rsid w:val="00BF2B5B"/>
    <w:rsid w:val="00BF38FD"/>
    <w:rsid w:val="00BF3947"/>
    <w:rsid w:val="00BF4690"/>
    <w:rsid w:val="00BF6F76"/>
    <w:rsid w:val="00BF7155"/>
    <w:rsid w:val="00C02978"/>
    <w:rsid w:val="00C034A9"/>
    <w:rsid w:val="00C03859"/>
    <w:rsid w:val="00C03F51"/>
    <w:rsid w:val="00C05E01"/>
    <w:rsid w:val="00C05E42"/>
    <w:rsid w:val="00C063F1"/>
    <w:rsid w:val="00C0679C"/>
    <w:rsid w:val="00C078BD"/>
    <w:rsid w:val="00C102CC"/>
    <w:rsid w:val="00C11A47"/>
    <w:rsid w:val="00C12098"/>
    <w:rsid w:val="00C13805"/>
    <w:rsid w:val="00C14397"/>
    <w:rsid w:val="00C15CA6"/>
    <w:rsid w:val="00C16807"/>
    <w:rsid w:val="00C16F89"/>
    <w:rsid w:val="00C17529"/>
    <w:rsid w:val="00C2025F"/>
    <w:rsid w:val="00C20B87"/>
    <w:rsid w:val="00C2167D"/>
    <w:rsid w:val="00C21BCC"/>
    <w:rsid w:val="00C22BFA"/>
    <w:rsid w:val="00C2403A"/>
    <w:rsid w:val="00C24CC2"/>
    <w:rsid w:val="00C266D3"/>
    <w:rsid w:val="00C266DA"/>
    <w:rsid w:val="00C26FE9"/>
    <w:rsid w:val="00C27C74"/>
    <w:rsid w:val="00C27D03"/>
    <w:rsid w:val="00C30313"/>
    <w:rsid w:val="00C304DA"/>
    <w:rsid w:val="00C31095"/>
    <w:rsid w:val="00C31277"/>
    <w:rsid w:val="00C32321"/>
    <w:rsid w:val="00C3296F"/>
    <w:rsid w:val="00C33173"/>
    <w:rsid w:val="00C349F0"/>
    <w:rsid w:val="00C34A1E"/>
    <w:rsid w:val="00C3720B"/>
    <w:rsid w:val="00C406CF"/>
    <w:rsid w:val="00C41423"/>
    <w:rsid w:val="00C41C56"/>
    <w:rsid w:val="00C4334F"/>
    <w:rsid w:val="00C4363D"/>
    <w:rsid w:val="00C438CA"/>
    <w:rsid w:val="00C4434A"/>
    <w:rsid w:val="00C44906"/>
    <w:rsid w:val="00C44974"/>
    <w:rsid w:val="00C44E9E"/>
    <w:rsid w:val="00C4570B"/>
    <w:rsid w:val="00C46098"/>
    <w:rsid w:val="00C46439"/>
    <w:rsid w:val="00C465CE"/>
    <w:rsid w:val="00C46B32"/>
    <w:rsid w:val="00C47A26"/>
    <w:rsid w:val="00C50E1F"/>
    <w:rsid w:val="00C516EC"/>
    <w:rsid w:val="00C52ABF"/>
    <w:rsid w:val="00C539F0"/>
    <w:rsid w:val="00C53DC9"/>
    <w:rsid w:val="00C5436E"/>
    <w:rsid w:val="00C54702"/>
    <w:rsid w:val="00C571A9"/>
    <w:rsid w:val="00C615A7"/>
    <w:rsid w:val="00C616BF"/>
    <w:rsid w:val="00C61AD1"/>
    <w:rsid w:val="00C622E5"/>
    <w:rsid w:val="00C62AE6"/>
    <w:rsid w:val="00C62C5D"/>
    <w:rsid w:val="00C6342A"/>
    <w:rsid w:val="00C646CF"/>
    <w:rsid w:val="00C64873"/>
    <w:rsid w:val="00C64C34"/>
    <w:rsid w:val="00C64EE6"/>
    <w:rsid w:val="00C65959"/>
    <w:rsid w:val="00C65A0A"/>
    <w:rsid w:val="00C65ED1"/>
    <w:rsid w:val="00C66628"/>
    <w:rsid w:val="00C67701"/>
    <w:rsid w:val="00C711C5"/>
    <w:rsid w:val="00C715DB"/>
    <w:rsid w:val="00C7189F"/>
    <w:rsid w:val="00C73C13"/>
    <w:rsid w:val="00C7422F"/>
    <w:rsid w:val="00C74528"/>
    <w:rsid w:val="00C74812"/>
    <w:rsid w:val="00C751BF"/>
    <w:rsid w:val="00C762F7"/>
    <w:rsid w:val="00C7651A"/>
    <w:rsid w:val="00C77280"/>
    <w:rsid w:val="00C77C83"/>
    <w:rsid w:val="00C812AA"/>
    <w:rsid w:val="00C813A0"/>
    <w:rsid w:val="00C817E6"/>
    <w:rsid w:val="00C81AD1"/>
    <w:rsid w:val="00C81E9F"/>
    <w:rsid w:val="00C82372"/>
    <w:rsid w:val="00C82B76"/>
    <w:rsid w:val="00C82CB6"/>
    <w:rsid w:val="00C83111"/>
    <w:rsid w:val="00C84265"/>
    <w:rsid w:val="00C84ED5"/>
    <w:rsid w:val="00C8609E"/>
    <w:rsid w:val="00C8623F"/>
    <w:rsid w:val="00C87684"/>
    <w:rsid w:val="00C87E9A"/>
    <w:rsid w:val="00C901DB"/>
    <w:rsid w:val="00C9070B"/>
    <w:rsid w:val="00C92706"/>
    <w:rsid w:val="00C929EE"/>
    <w:rsid w:val="00C93B18"/>
    <w:rsid w:val="00C94791"/>
    <w:rsid w:val="00C94CBD"/>
    <w:rsid w:val="00C95057"/>
    <w:rsid w:val="00C96465"/>
    <w:rsid w:val="00C96D0A"/>
    <w:rsid w:val="00C96E97"/>
    <w:rsid w:val="00C974FE"/>
    <w:rsid w:val="00CA001B"/>
    <w:rsid w:val="00CA01AD"/>
    <w:rsid w:val="00CA061E"/>
    <w:rsid w:val="00CA1267"/>
    <w:rsid w:val="00CA2625"/>
    <w:rsid w:val="00CA3024"/>
    <w:rsid w:val="00CA36EF"/>
    <w:rsid w:val="00CA3C73"/>
    <w:rsid w:val="00CA3E46"/>
    <w:rsid w:val="00CA5475"/>
    <w:rsid w:val="00CA5E21"/>
    <w:rsid w:val="00CA6FE3"/>
    <w:rsid w:val="00CA7BFF"/>
    <w:rsid w:val="00CB0164"/>
    <w:rsid w:val="00CB19DA"/>
    <w:rsid w:val="00CB1BF5"/>
    <w:rsid w:val="00CB2FA5"/>
    <w:rsid w:val="00CB44F6"/>
    <w:rsid w:val="00CB519E"/>
    <w:rsid w:val="00CB51BB"/>
    <w:rsid w:val="00CB51FF"/>
    <w:rsid w:val="00CB6E0C"/>
    <w:rsid w:val="00CC023C"/>
    <w:rsid w:val="00CC0334"/>
    <w:rsid w:val="00CC1692"/>
    <w:rsid w:val="00CC1B8B"/>
    <w:rsid w:val="00CC1DF5"/>
    <w:rsid w:val="00CC1EAD"/>
    <w:rsid w:val="00CC30C2"/>
    <w:rsid w:val="00CC311A"/>
    <w:rsid w:val="00CC3A59"/>
    <w:rsid w:val="00CC3C03"/>
    <w:rsid w:val="00CC4253"/>
    <w:rsid w:val="00CC4804"/>
    <w:rsid w:val="00CC4E34"/>
    <w:rsid w:val="00CC5133"/>
    <w:rsid w:val="00CC54EB"/>
    <w:rsid w:val="00CC5F27"/>
    <w:rsid w:val="00CC63FE"/>
    <w:rsid w:val="00CC7437"/>
    <w:rsid w:val="00CD06C1"/>
    <w:rsid w:val="00CD20E1"/>
    <w:rsid w:val="00CD2F74"/>
    <w:rsid w:val="00CD3BBB"/>
    <w:rsid w:val="00CD3C54"/>
    <w:rsid w:val="00CD5A98"/>
    <w:rsid w:val="00CD6EF5"/>
    <w:rsid w:val="00CD7493"/>
    <w:rsid w:val="00CD76C0"/>
    <w:rsid w:val="00CD7F31"/>
    <w:rsid w:val="00CE1BC1"/>
    <w:rsid w:val="00CE21A4"/>
    <w:rsid w:val="00CE3521"/>
    <w:rsid w:val="00CE3A2A"/>
    <w:rsid w:val="00CE3B1C"/>
    <w:rsid w:val="00CE5723"/>
    <w:rsid w:val="00CF00AD"/>
    <w:rsid w:val="00CF06F9"/>
    <w:rsid w:val="00CF071D"/>
    <w:rsid w:val="00CF1107"/>
    <w:rsid w:val="00CF1168"/>
    <w:rsid w:val="00CF1C88"/>
    <w:rsid w:val="00CF2D83"/>
    <w:rsid w:val="00CF3034"/>
    <w:rsid w:val="00CF3FC7"/>
    <w:rsid w:val="00CF5493"/>
    <w:rsid w:val="00CF5603"/>
    <w:rsid w:val="00CF634F"/>
    <w:rsid w:val="00CF67D8"/>
    <w:rsid w:val="00CF694E"/>
    <w:rsid w:val="00CF6BF4"/>
    <w:rsid w:val="00CF7DE9"/>
    <w:rsid w:val="00D00547"/>
    <w:rsid w:val="00D01398"/>
    <w:rsid w:val="00D0189D"/>
    <w:rsid w:val="00D02427"/>
    <w:rsid w:val="00D02E46"/>
    <w:rsid w:val="00D03781"/>
    <w:rsid w:val="00D0403A"/>
    <w:rsid w:val="00D04528"/>
    <w:rsid w:val="00D050BA"/>
    <w:rsid w:val="00D05E32"/>
    <w:rsid w:val="00D06CBF"/>
    <w:rsid w:val="00D06FC6"/>
    <w:rsid w:val="00D07DAA"/>
    <w:rsid w:val="00D11CE7"/>
    <w:rsid w:val="00D12281"/>
    <w:rsid w:val="00D14D03"/>
    <w:rsid w:val="00D173CE"/>
    <w:rsid w:val="00D176D6"/>
    <w:rsid w:val="00D21F17"/>
    <w:rsid w:val="00D225A9"/>
    <w:rsid w:val="00D234A5"/>
    <w:rsid w:val="00D2772F"/>
    <w:rsid w:val="00D3079F"/>
    <w:rsid w:val="00D30C5E"/>
    <w:rsid w:val="00D3100A"/>
    <w:rsid w:val="00D312EB"/>
    <w:rsid w:val="00D31C89"/>
    <w:rsid w:val="00D3348F"/>
    <w:rsid w:val="00D3413F"/>
    <w:rsid w:val="00D34190"/>
    <w:rsid w:val="00D3483B"/>
    <w:rsid w:val="00D3497A"/>
    <w:rsid w:val="00D35A12"/>
    <w:rsid w:val="00D373B0"/>
    <w:rsid w:val="00D40BB5"/>
    <w:rsid w:val="00D40EFC"/>
    <w:rsid w:val="00D4142C"/>
    <w:rsid w:val="00D42178"/>
    <w:rsid w:val="00D4229B"/>
    <w:rsid w:val="00D45C32"/>
    <w:rsid w:val="00D462AD"/>
    <w:rsid w:val="00D46FF7"/>
    <w:rsid w:val="00D47431"/>
    <w:rsid w:val="00D47A8B"/>
    <w:rsid w:val="00D47AD5"/>
    <w:rsid w:val="00D47F91"/>
    <w:rsid w:val="00D518C3"/>
    <w:rsid w:val="00D51C09"/>
    <w:rsid w:val="00D51D3D"/>
    <w:rsid w:val="00D52CEB"/>
    <w:rsid w:val="00D52D3B"/>
    <w:rsid w:val="00D532C6"/>
    <w:rsid w:val="00D5426B"/>
    <w:rsid w:val="00D55010"/>
    <w:rsid w:val="00D5599A"/>
    <w:rsid w:val="00D55B21"/>
    <w:rsid w:val="00D563A6"/>
    <w:rsid w:val="00D569AD"/>
    <w:rsid w:val="00D56C76"/>
    <w:rsid w:val="00D60074"/>
    <w:rsid w:val="00D6041B"/>
    <w:rsid w:val="00D605E5"/>
    <w:rsid w:val="00D61E52"/>
    <w:rsid w:val="00D61F73"/>
    <w:rsid w:val="00D6268B"/>
    <w:rsid w:val="00D62A68"/>
    <w:rsid w:val="00D62A8B"/>
    <w:rsid w:val="00D630A0"/>
    <w:rsid w:val="00D65697"/>
    <w:rsid w:val="00D66036"/>
    <w:rsid w:val="00D66D0D"/>
    <w:rsid w:val="00D67140"/>
    <w:rsid w:val="00D7076D"/>
    <w:rsid w:val="00D71595"/>
    <w:rsid w:val="00D71B33"/>
    <w:rsid w:val="00D731B0"/>
    <w:rsid w:val="00D73F84"/>
    <w:rsid w:val="00D740F4"/>
    <w:rsid w:val="00D74189"/>
    <w:rsid w:val="00D74329"/>
    <w:rsid w:val="00D7465C"/>
    <w:rsid w:val="00D75419"/>
    <w:rsid w:val="00D758A0"/>
    <w:rsid w:val="00D77596"/>
    <w:rsid w:val="00D802FD"/>
    <w:rsid w:val="00D814B5"/>
    <w:rsid w:val="00D82EE0"/>
    <w:rsid w:val="00D8402A"/>
    <w:rsid w:val="00D84962"/>
    <w:rsid w:val="00D84FCC"/>
    <w:rsid w:val="00D869C5"/>
    <w:rsid w:val="00D86A4E"/>
    <w:rsid w:val="00D87EE8"/>
    <w:rsid w:val="00D91E3F"/>
    <w:rsid w:val="00D92BE8"/>
    <w:rsid w:val="00D932E1"/>
    <w:rsid w:val="00D936BF"/>
    <w:rsid w:val="00D937A6"/>
    <w:rsid w:val="00D93FD8"/>
    <w:rsid w:val="00D94A5A"/>
    <w:rsid w:val="00D94C3C"/>
    <w:rsid w:val="00D95258"/>
    <w:rsid w:val="00D956C6"/>
    <w:rsid w:val="00D9626A"/>
    <w:rsid w:val="00DA0427"/>
    <w:rsid w:val="00DA05B7"/>
    <w:rsid w:val="00DA0CB6"/>
    <w:rsid w:val="00DA1B0F"/>
    <w:rsid w:val="00DA1E39"/>
    <w:rsid w:val="00DA2171"/>
    <w:rsid w:val="00DA266F"/>
    <w:rsid w:val="00DA2928"/>
    <w:rsid w:val="00DA3AE2"/>
    <w:rsid w:val="00DA3B33"/>
    <w:rsid w:val="00DA42A3"/>
    <w:rsid w:val="00DA5AF9"/>
    <w:rsid w:val="00DA5B4D"/>
    <w:rsid w:val="00DA66D3"/>
    <w:rsid w:val="00DA702D"/>
    <w:rsid w:val="00DA7075"/>
    <w:rsid w:val="00DA74A2"/>
    <w:rsid w:val="00DA7D37"/>
    <w:rsid w:val="00DB010E"/>
    <w:rsid w:val="00DB0BBC"/>
    <w:rsid w:val="00DB191E"/>
    <w:rsid w:val="00DB1E05"/>
    <w:rsid w:val="00DB2029"/>
    <w:rsid w:val="00DB5927"/>
    <w:rsid w:val="00DB6664"/>
    <w:rsid w:val="00DB73FB"/>
    <w:rsid w:val="00DB7CC5"/>
    <w:rsid w:val="00DB7CD4"/>
    <w:rsid w:val="00DC0A66"/>
    <w:rsid w:val="00DC0DBE"/>
    <w:rsid w:val="00DC2523"/>
    <w:rsid w:val="00DC3792"/>
    <w:rsid w:val="00DC429D"/>
    <w:rsid w:val="00DC497E"/>
    <w:rsid w:val="00DC49F0"/>
    <w:rsid w:val="00DC6743"/>
    <w:rsid w:val="00DC6E17"/>
    <w:rsid w:val="00DC6F8F"/>
    <w:rsid w:val="00DC7C69"/>
    <w:rsid w:val="00DD0C56"/>
    <w:rsid w:val="00DD26B7"/>
    <w:rsid w:val="00DD2785"/>
    <w:rsid w:val="00DD2EA7"/>
    <w:rsid w:val="00DD35D4"/>
    <w:rsid w:val="00DD3C0D"/>
    <w:rsid w:val="00DD4449"/>
    <w:rsid w:val="00DD4DCA"/>
    <w:rsid w:val="00DD5B02"/>
    <w:rsid w:val="00DD5CCB"/>
    <w:rsid w:val="00DD6003"/>
    <w:rsid w:val="00DD635E"/>
    <w:rsid w:val="00DD7B1D"/>
    <w:rsid w:val="00DE1355"/>
    <w:rsid w:val="00DE14D6"/>
    <w:rsid w:val="00DE1A4C"/>
    <w:rsid w:val="00DE285A"/>
    <w:rsid w:val="00DE2A03"/>
    <w:rsid w:val="00DE2F3F"/>
    <w:rsid w:val="00DE3645"/>
    <w:rsid w:val="00DE3973"/>
    <w:rsid w:val="00DE4ADB"/>
    <w:rsid w:val="00DE5417"/>
    <w:rsid w:val="00DE5630"/>
    <w:rsid w:val="00DE65F6"/>
    <w:rsid w:val="00DE7227"/>
    <w:rsid w:val="00DE76FC"/>
    <w:rsid w:val="00DF2891"/>
    <w:rsid w:val="00DF355A"/>
    <w:rsid w:val="00DF3789"/>
    <w:rsid w:val="00DF3B2A"/>
    <w:rsid w:val="00DF3F22"/>
    <w:rsid w:val="00DF4BAB"/>
    <w:rsid w:val="00DF5D14"/>
    <w:rsid w:val="00DF608E"/>
    <w:rsid w:val="00DF657D"/>
    <w:rsid w:val="00DF682A"/>
    <w:rsid w:val="00DF6CC5"/>
    <w:rsid w:val="00DF6DB2"/>
    <w:rsid w:val="00DF6FF1"/>
    <w:rsid w:val="00DF71EB"/>
    <w:rsid w:val="00DF76E0"/>
    <w:rsid w:val="00DF7763"/>
    <w:rsid w:val="00DF7F7A"/>
    <w:rsid w:val="00E007FD"/>
    <w:rsid w:val="00E00B50"/>
    <w:rsid w:val="00E015A9"/>
    <w:rsid w:val="00E01B18"/>
    <w:rsid w:val="00E01B2E"/>
    <w:rsid w:val="00E01B45"/>
    <w:rsid w:val="00E02883"/>
    <w:rsid w:val="00E02AEE"/>
    <w:rsid w:val="00E02E89"/>
    <w:rsid w:val="00E03A97"/>
    <w:rsid w:val="00E04029"/>
    <w:rsid w:val="00E05379"/>
    <w:rsid w:val="00E05D98"/>
    <w:rsid w:val="00E0744B"/>
    <w:rsid w:val="00E07667"/>
    <w:rsid w:val="00E07755"/>
    <w:rsid w:val="00E07D23"/>
    <w:rsid w:val="00E07E2E"/>
    <w:rsid w:val="00E07E8B"/>
    <w:rsid w:val="00E10861"/>
    <w:rsid w:val="00E120BC"/>
    <w:rsid w:val="00E1258C"/>
    <w:rsid w:val="00E1376C"/>
    <w:rsid w:val="00E137AA"/>
    <w:rsid w:val="00E1440A"/>
    <w:rsid w:val="00E15635"/>
    <w:rsid w:val="00E15E45"/>
    <w:rsid w:val="00E16BEE"/>
    <w:rsid w:val="00E2103E"/>
    <w:rsid w:val="00E212B9"/>
    <w:rsid w:val="00E21B02"/>
    <w:rsid w:val="00E23869"/>
    <w:rsid w:val="00E24B0F"/>
    <w:rsid w:val="00E25B42"/>
    <w:rsid w:val="00E26156"/>
    <w:rsid w:val="00E27323"/>
    <w:rsid w:val="00E27FA3"/>
    <w:rsid w:val="00E302DF"/>
    <w:rsid w:val="00E304C4"/>
    <w:rsid w:val="00E3099D"/>
    <w:rsid w:val="00E32D2D"/>
    <w:rsid w:val="00E333FB"/>
    <w:rsid w:val="00E3345C"/>
    <w:rsid w:val="00E35515"/>
    <w:rsid w:val="00E361BF"/>
    <w:rsid w:val="00E36F7B"/>
    <w:rsid w:val="00E378FB"/>
    <w:rsid w:val="00E37C51"/>
    <w:rsid w:val="00E40778"/>
    <w:rsid w:val="00E40ED4"/>
    <w:rsid w:val="00E40F77"/>
    <w:rsid w:val="00E410E2"/>
    <w:rsid w:val="00E41D9C"/>
    <w:rsid w:val="00E41FE9"/>
    <w:rsid w:val="00E427D9"/>
    <w:rsid w:val="00E4324A"/>
    <w:rsid w:val="00E43FA3"/>
    <w:rsid w:val="00E44314"/>
    <w:rsid w:val="00E444B4"/>
    <w:rsid w:val="00E4501A"/>
    <w:rsid w:val="00E4586E"/>
    <w:rsid w:val="00E46187"/>
    <w:rsid w:val="00E46BFA"/>
    <w:rsid w:val="00E46DA2"/>
    <w:rsid w:val="00E47631"/>
    <w:rsid w:val="00E477BE"/>
    <w:rsid w:val="00E47B62"/>
    <w:rsid w:val="00E513F5"/>
    <w:rsid w:val="00E51517"/>
    <w:rsid w:val="00E51A78"/>
    <w:rsid w:val="00E51AFF"/>
    <w:rsid w:val="00E51F74"/>
    <w:rsid w:val="00E53A0B"/>
    <w:rsid w:val="00E54533"/>
    <w:rsid w:val="00E55868"/>
    <w:rsid w:val="00E55FE6"/>
    <w:rsid w:val="00E57D68"/>
    <w:rsid w:val="00E60C14"/>
    <w:rsid w:val="00E61747"/>
    <w:rsid w:val="00E61815"/>
    <w:rsid w:val="00E620C7"/>
    <w:rsid w:val="00E64538"/>
    <w:rsid w:val="00E647B5"/>
    <w:rsid w:val="00E653B8"/>
    <w:rsid w:val="00E65D86"/>
    <w:rsid w:val="00E66421"/>
    <w:rsid w:val="00E66967"/>
    <w:rsid w:val="00E67987"/>
    <w:rsid w:val="00E67B86"/>
    <w:rsid w:val="00E67E1C"/>
    <w:rsid w:val="00E70A51"/>
    <w:rsid w:val="00E70E2A"/>
    <w:rsid w:val="00E72C1A"/>
    <w:rsid w:val="00E7435E"/>
    <w:rsid w:val="00E74BBE"/>
    <w:rsid w:val="00E75675"/>
    <w:rsid w:val="00E763CD"/>
    <w:rsid w:val="00E76A0F"/>
    <w:rsid w:val="00E76F36"/>
    <w:rsid w:val="00E7711B"/>
    <w:rsid w:val="00E77D6D"/>
    <w:rsid w:val="00E8114F"/>
    <w:rsid w:val="00E82B64"/>
    <w:rsid w:val="00E83E08"/>
    <w:rsid w:val="00E850A3"/>
    <w:rsid w:val="00E8528B"/>
    <w:rsid w:val="00E86084"/>
    <w:rsid w:val="00E86A15"/>
    <w:rsid w:val="00E86E88"/>
    <w:rsid w:val="00E87034"/>
    <w:rsid w:val="00E8766C"/>
    <w:rsid w:val="00E878C1"/>
    <w:rsid w:val="00E904B3"/>
    <w:rsid w:val="00E90733"/>
    <w:rsid w:val="00E90DC2"/>
    <w:rsid w:val="00E90F26"/>
    <w:rsid w:val="00E91D52"/>
    <w:rsid w:val="00E931A2"/>
    <w:rsid w:val="00E932F5"/>
    <w:rsid w:val="00E93D9A"/>
    <w:rsid w:val="00E94D70"/>
    <w:rsid w:val="00E95EEF"/>
    <w:rsid w:val="00E96340"/>
    <w:rsid w:val="00EA0157"/>
    <w:rsid w:val="00EA0C3E"/>
    <w:rsid w:val="00EA0DE1"/>
    <w:rsid w:val="00EA1141"/>
    <w:rsid w:val="00EA19AF"/>
    <w:rsid w:val="00EA1BF3"/>
    <w:rsid w:val="00EA38D5"/>
    <w:rsid w:val="00EA4363"/>
    <w:rsid w:val="00EA5409"/>
    <w:rsid w:val="00EA5445"/>
    <w:rsid w:val="00EA5C37"/>
    <w:rsid w:val="00EA5F10"/>
    <w:rsid w:val="00EA5F30"/>
    <w:rsid w:val="00EA6F59"/>
    <w:rsid w:val="00EA789A"/>
    <w:rsid w:val="00EA7B94"/>
    <w:rsid w:val="00EB0AC8"/>
    <w:rsid w:val="00EB0F10"/>
    <w:rsid w:val="00EB13BC"/>
    <w:rsid w:val="00EB219C"/>
    <w:rsid w:val="00EB2C13"/>
    <w:rsid w:val="00EB2C25"/>
    <w:rsid w:val="00EB321E"/>
    <w:rsid w:val="00EB6374"/>
    <w:rsid w:val="00EB64FC"/>
    <w:rsid w:val="00EB6F39"/>
    <w:rsid w:val="00EB7B3E"/>
    <w:rsid w:val="00EB7C5B"/>
    <w:rsid w:val="00EC0FC7"/>
    <w:rsid w:val="00EC3466"/>
    <w:rsid w:val="00EC37C6"/>
    <w:rsid w:val="00EC3CEA"/>
    <w:rsid w:val="00EC5360"/>
    <w:rsid w:val="00EC6F70"/>
    <w:rsid w:val="00EC744B"/>
    <w:rsid w:val="00EC778D"/>
    <w:rsid w:val="00EC7B5A"/>
    <w:rsid w:val="00EC7CEC"/>
    <w:rsid w:val="00ED03B7"/>
    <w:rsid w:val="00ED090C"/>
    <w:rsid w:val="00ED1573"/>
    <w:rsid w:val="00ED1966"/>
    <w:rsid w:val="00ED3498"/>
    <w:rsid w:val="00ED3C02"/>
    <w:rsid w:val="00ED419B"/>
    <w:rsid w:val="00ED43BD"/>
    <w:rsid w:val="00ED4DA5"/>
    <w:rsid w:val="00ED5501"/>
    <w:rsid w:val="00ED5AF3"/>
    <w:rsid w:val="00ED5F06"/>
    <w:rsid w:val="00ED624A"/>
    <w:rsid w:val="00ED6E55"/>
    <w:rsid w:val="00ED7419"/>
    <w:rsid w:val="00ED76DA"/>
    <w:rsid w:val="00EE050F"/>
    <w:rsid w:val="00EE081A"/>
    <w:rsid w:val="00EE0F44"/>
    <w:rsid w:val="00EE1131"/>
    <w:rsid w:val="00EE1EB5"/>
    <w:rsid w:val="00EE243B"/>
    <w:rsid w:val="00EE2B28"/>
    <w:rsid w:val="00EE3398"/>
    <w:rsid w:val="00EE60DB"/>
    <w:rsid w:val="00EE7E38"/>
    <w:rsid w:val="00EE7EEA"/>
    <w:rsid w:val="00EF1D7E"/>
    <w:rsid w:val="00EF34B4"/>
    <w:rsid w:val="00EF39FC"/>
    <w:rsid w:val="00EF4CEE"/>
    <w:rsid w:val="00EF5638"/>
    <w:rsid w:val="00EF59A3"/>
    <w:rsid w:val="00EF5EA7"/>
    <w:rsid w:val="00EF6801"/>
    <w:rsid w:val="00EF6AA5"/>
    <w:rsid w:val="00EF7F09"/>
    <w:rsid w:val="00F016CA"/>
    <w:rsid w:val="00F016F3"/>
    <w:rsid w:val="00F01E4F"/>
    <w:rsid w:val="00F02189"/>
    <w:rsid w:val="00F0281E"/>
    <w:rsid w:val="00F04143"/>
    <w:rsid w:val="00F0482C"/>
    <w:rsid w:val="00F0740D"/>
    <w:rsid w:val="00F075C0"/>
    <w:rsid w:val="00F07750"/>
    <w:rsid w:val="00F07780"/>
    <w:rsid w:val="00F106C0"/>
    <w:rsid w:val="00F10988"/>
    <w:rsid w:val="00F12149"/>
    <w:rsid w:val="00F126D9"/>
    <w:rsid w:val="00F1300F"/>
    <w:rsid w:val="00F13587"/>
    <w:rsid w:val="00F156DE"/>
    <w:rsid w:val="00F16387"/>
    <w:rsid w:val="00F17B1E"/>
    <w:rsid w:val="00F17D47"/>
    <w:rsid w:val="00F203C7"/>
    <w:rsid w:val="00F210E0"/>
    <w:rsid w:val="00F215E0"/>
    <w:rsid w:val="00F21646"/>
    <w:rsid w:val="00F21917"/>
    <w:rsid w:val="00F23EB3"/>
    <w:rsid w:val="00F24203"/>
    <w:rsid w:val="00F24837"/>
    <w:rsid w:val="00F27A4B"/>
    <w:rsid w:val="00F27BB1"/>
    <w:rsid w:val="00F31DD6"/>
    <w:rsid w:val="00F32B0E"/>
    <w:rsid w:val="00F33DC4"/>
    <w:rsid w:val="00F356DB"/>
    <w:rsid w:val="00F35946"/>
    <w:rsid w:val="00F359C0"/>
    <w:rsid w:val="00F37DBE"/>
    <w:rsid w:val="00F401F9"/>
    <w:rsid w:val="00F4036B"/>
    <w:rsid w:val="00F423EB"/>
    <w:rsid w:val="00F42DEC"/>
    <w:rsid w:val="00F430AC"/>
    <w:rsid w:val="00F438E3"/>
    <w:rsid w:val="00F462D5"/>
    <w:rsid w:val="00F46975"/>
    <w:rsid w:val="00F477B9"/>
    <w:rsid w:val="00F50656"/>
    <w:rsid w:val="00F50663"/>
    <w:rsid w:val="00F506F4"/>
    <w:rsid w:val="00F5098F"/>
    <w:rsid w:val="00F53378"/>
    <w:rsid w:val="00F53604"/>
    <w:rsid w:val="00F549BC"/>
    <w:rsid w:val="00F54A39"/>
    <w:rsid w:val="00F54B2D"/>
    <w:rsid w:val="00F55625"/>
    <w:rsid w:val="00F55741"/>
    <w:rsid w:val="00F55FAE"/>
    <w:rsid w:val="00F56B65"/>
    <w:rsid w:val="00F575F5"/>
    <w:rsid w:val="00F60171"/>
    <w:rsid w:val="00F6086F"/>
    <w:rsid w:val="00F60924"/>
    <w:rsid w:val="00F613FA"/>
    <w:rsid w:val="00F6631F"/>
    <w:rsid w:val="00F709B4"/>
    <w:rsid w:val="00F70E60"/>
    <w:rsid w:val="00F71B37"/>
    <w:rsid w:val="00F72027"/>
    <w:rsid w:val="00F72112"/>
    <w:rsid w:val="00F723D6"/>
    <w:rsid w:val="00F724AB"/>
    <w:rsid w:val="00F738BF"/>
    <w:rsid w:val="00F739CF"/>
    <w:rsid w:val="00F75E3A"/>
    <w:rsid w:val="00F77DF0"/>
    <w:rsid w:val="00F77E87"/>
    <w:rsid w:val="00F806A9"/>
    <w:rsid w:val="00F80F0F"/>
    <w:rsid w:val="00F81620"/>
    <w:rsid w:val="00F81EA3"/>
    <w:rsid w:val="00F8217F"/>
    <w:rsid w:val="00F83113"/>
    <w:rsid w:val="00F83C22"/>
    <w:rsid w:val="00F84521"/>
    <w:rsid w:val="00F848CF"/>
    <w:rsid w:val="00F84EA8"/>
    <w:rsid w:val="00F85067"/>
    <w:rsid w:val="00F8510F"/>
    <w:rsid w:val="00F8551A"/>
    <w:rsid w:val="00F86B07"/>
    <w:rsid w:val="00F87451"/>
    <w:rsid w:val="00F906AB"/>
    <w:rsid w:val="00F91766"/>
    <w:rsid w:val="00F91A6E"/>
    <w:rsid w:val="00F9678F"/>
    <w:rsid w:val="00F96B7D"/>
    <w:rsid w:val="00F97388"/>
    <w:rsid w:val="00F97412"/>
    <w:rsid w:val="00FA0537"/>
    <w:rsid w:val="00FA0D1E"/>
    <w:rsid w:val="00FA1739"/>
    <w:rsid w:val="00FA1A05"/>
    <w:rsid w:val="00FA25EA"/>
    <w:rsid w:val="00FA2AC8"/>
    <w:rsid w:val="00FA2ECA"/>
    <w:rsid w:val="00FA2FA8"/>
    <w:rsid w:val="00FA4875"/>
    <w:rsid w:val="00FA65E5"/>
    <w:rsid w:val="00FA6A63"/>
    <w:rsid w:val="00FB0F17"/>
    <w:rsid w:val="00FB1348"/>
    <w:rsid w:val="00FB177B"/>
    <w:rsid w:val="00FB1EA0"/>
    <w:rsid w:val="00FB2144"/>
    <w:rsid w:val="00FB2DA4"/>
    <w:rsid w:val="00FB45C2"/>
    <w:rsid w:val="00FB6B51"/>
    <w:rsid w:val="00FB7052"/>
    <w:rsid w:val="00FC08E5"/>
    <w:rsid w:val="00FC2094"/>
    <w:rsid w:val="00FC2786"/>
    <w:rsid w:val="00FC36CB"/>
    <w:rsid w:val="00FC3779"/>
    <w:rsid w:val="00FC400D"/>
    <w:rsid w:val="00FC58AA"/>
    <w:rsid w:val="00FC789A"/>
    <w:rsid w:val="00FC7979"/>
    <w:rsid w:val="00FC7CE2"/>
    <w:rsid w:val="00FD0815"/>
    <w:rsid w:val="00FD1134"/>
    <w:rsid w:val="00FD1489"/>
    <w:rsid w:val="00FD15A5"/>
    <w:rsid w:val="00FD2169"/>
    <w:rsid w:val="00FD24D9"/>
    <w:rsid w:val="00FD2860"/>
    <w:rsid w:val="00FD2B4A"/>
    <w:rsid w:val="00FD43CA"/>
    <w:rsid w:val="00FD5879"/>
    <w:rsid w:val="00FD5ED5"/>
    <w:rsid w:val="00FD7C6C"/>
    <w:rsid w:val="00FE033E"/>
    <w:rsid w:val="00FE13C6"/>
    <w:rsid w:val="00FE23C6"/>
    <w:rsid w:val="00FE2E5D"/>
    <w:rsid w:val="00FE498A"/>
    <w:rsid w:val="00FE54A8"/>
    <w:rsid w:val="00FE6741"/>
    <w:rsid w:val="00FE6B1A"/>
    <w:rsid w:val="00FE6BC8"/>
    <w:rsid w:val="00FE7073"/>
    <w:rsid w:val="00FF06F9"/>
    <w:rsid w:val="00FF072F"/>
    <w:rsid w:val="00FF0FB4"/>
    <w:rsid w:val="00FF12B9"/>
    <w:rsid w:val="00FF18B0"/>
    <w:rsid w:val="00FF1A88"/>
    <w:rsid w:val="00FF2B2A"/>
    <w:rsid w:val="00FF2B97"/>
    <w:rsid w:val="00FF4BB6"/>
    <w:rsid w:val="00FF4E9F"/>
    <w:rsid w:val="00FF4EE6"/>
    <w:rsid w:val="00FF683E"/>
    <w:rsid w:val="0198569C"/>
    <w:rsid w:val="019F51E5"/>
    <w:rsid w:val="01A77CA2"/>
    <w:rsid w:val="01C97D90"/>
    <w:rsid w:val="01EE2233"/>
    <w:rsid w:val="02370032"/>
    <w:rsid w:val="023855D8"/>
    <w:rsid w:val="025045B8"/>
    <w:rsid w:val="02DB608D"/>
    <w:rsid w:val="03105E9A"/>
    <w:rsid w:val="0382186E"/>
    <w:rsid w:val="03A01483"/>
    <w:rsid w:val="03B67C76"/>
    <w:rsid w:val="040D1E70"/>
    <w:rsid w:val="040F2CF2"/>
    <w:rsid w:val="0435586E"/>
    <w:rsid w:val="04611584"/>
    <w:rsid w:val="0468560A"/>
    <w:rsid w:val="04717FC7"/>
    <w:rsid w:val="047C4C14"/>
    <w:rsid w:val="04856793"/>
    <w:rsid w:val="04A113A5"/>
    <w:rsid w:val="050D76F3"/>
    <w:rsid w:val="054C3958"/>
    <w:rsid w:val="05551886"/>
    <w:rsid w:val="05671C39"/>
    <w:rsid w:val="057E45D0"/>
    <w:rsid w:val="05BA574D"/>
    <w:rsid w:val="05BF7FAC"/>
    <w:rsid w:val="05F67880"/>
    <w:rsid w:val="05F8593C"/>
    <w:rsid w:val="06475819"/>
    <w:rsid w:val="06503EEC"/>
    <w:rsid w:val="06B37FBE"/>
    <w:rsid w:val="06D95094"/>
    <w:rsid w:val="06E22BD9"/>
    <w:rsid w:val="06E32567"/>
    <w:rsid w:val="0744506D"/>
    <w:rsid w:val="074C0E53"/>
    <w:rsid w:val="074D2DE5"/>
    <w:rsid w:val="07727FC2"/>
    <w:rsid w:val="07967B0A"/>
    <w:rsid w:val="07BF4B46"/>
    <w:rsid w:val="07FE00B4"/>
    <w:rsid w:val="080F13F6"/>
    <w:rsid w:val="08B84CBC"/>
    <w:rsid w:val="08C21DEA"/>
    <w:rsid w:val="091478EF"/>
    <w:rsid w:val="09207FBB"/>
    <w:rsid w:val="09223CD6"/>
    <w:rsid w:val="0934265E"/>
    <w:rsid w:val="098B2CC4"/>
    <w:rsid w:val="09B40137"/>
    <w:rsid w:val="09C40713"/>
    <w:rsid w:val="09D91BF4"/>
    <w:rsid w:val="09E06F1A"/>
    <w:rsid w:val="09F90622"/>
    <w:rsid w:val="0A184AAD"/>
    <w:rsid w:val="0A2873F8"/>
    <w:rsid w:val="0A2F27BA"/>
    <w:rsid w:val="0A3318C7"/>
    <w:rsid w:val="0A4F3BAF"/>
    <w:rsid w:val="0A9C5549"/>
    <w:rsid w:val="0AC220F4"/>
    <w:rsid w:val="0B020D62"/>
    <w:rsid w:val="0B1D5C65"/>
    <w:rsid w:val="0B763E01"/>
    <w:rsid w:val="0BE114CF"/>
    <w:rsid w:val="0C1131D8"/>
    <w:rsid w:val="0C1B7B77"/>
    <w:rsid w:val="0C1E34E1"/>
    <w:rsid w:val="0D05675C"/>
    <w:rsid w:val="0D0608AB"/>
    <w:rsid w:val="0D083FB4"/>
    <w:rsid w:val="0D1F25C2"/>
    <w:rsid w:val="0D363097"/>
    <w:rsid w:val="0D921D8F"/>
    <w:rsid w:val="0E6228D0"/>
    <w:rsid w:val="0E954E7E"/>
    <w:rsid w:val="0EA844B9"/>
    <w:rsid w:val="0EF07295"/>
    <w:rsid w:val="0EF10C13"/>
    <w:rsid w:val="0EF64483"/>
    <w:rsid w:val="0F116B5A"/>
    <w:rsid w:val="0F6264A7"/>
    <w:rsid w:val="0F9223FC"/>
    <w:rsid w:val="0F9E08D8"/>
    <w:rsid w:val="0FAB68C5"/>
    <w:rsid w:val="0FB020F3"/>
    <w:rsid w:val="0FE81E2C"/>
    <w:rsid w:val="0FF93BD4"/>
    <w:rsid w:val="0FFA4688"/>
    <w:rsid w:val="10926A88"/>
    <w:rsid w:val="10BA7A9A"/>
    <w:rsid w:val="10E55ACF"/>
    <w:rsid w:val="111A451D"/>
    <w:rsid w:val="11436E75"/>
    <w:rsid w:val="1155646F"/>
    <w:rsid w:val="11BE722A"/>
    <w:rsid w:val="11D348F2"/>
    <w:rsid w:val="11D673FE"/>
    <w:rsid w:val="11F030D8"/>
    <w:rsid w:val="121E0F6C"/>
    <w:rsid w:val="123C273A"/>
    <w:rsid w:val="125C1586"/>
    <w:rsid w:val="132D0579"/>
    <w:rsid w:val="13B360A9"/>
    <w:rsid w:val="13E16F2D"/>
    <w:rsid w:val="13EF1367"/>
    <w:rsid w:val="14206758"/>
    <w:rsid w:val="14264F69"/>
    <w:rsid w:val="14663C85"/>
    <w:rsid w:val="148A2BC7"/>
    <w:rsid w:val="14B24220"/>
    <w:rsid w:val="150E3EA3"/>
    <w:rsid w:val="15392139"/>
    <w:rsid w:val="153F1441"/>
    <w:rsid w:val="156051A2"/>
    <w:rsid w:val="15652DAA"/>
    <w:rsid w:val="158A2D44"/>
    <w:rsid w:val="15922776"/>
    <w:rsid w:val="16066587"/>
    <w:rsid w:val="16122E84"/>
    <w:rsid w:val="165873B5"/>
    <w:rsid w:val="167875EF"/>
    <w:rsid w:val="16980A2A"/>
    <w:rsid w:val="16BD7A09"/>
    <w:rsid w:val="16FD38E6"/>
    <w:rsid w:val="172134D1"/>
    <w:rsid w:val="17316275"/>
    <w:rsid w:val="17715B75"/>
    <w:rsid w:val="179E4EFF"/>
    <w:rsid w:val="17C1658D"/>
    <w:rsid w:val="17DD256D"/>
    <w:rsid w:val="18207EC8"/>
    <w:rsid w:val="18572461"/>
    <w:rsid w:val="186D2598"/>
    <w:rsid w:val="18F10E12"/>
    <w:rsid w:val="19002698"/>
    <w:rsid w:val="1926420A"/>
    <w:rsid w:val="192E66E1"/>
    <w:rsid w:val="199A63DD"/>
    <w:rsid w:val="19DB6462"/>
    <w:rsid w:val="1A881510"/>
    <w:rsid w:val="1AEF369F"/>
    <w:rsid w:val="1AFA76DA"/>
    <w:rsid w:val="1B0F329D"/>
    <w:rsid w:val="1B1A5867"/>
    <w:rsid w:val="1B382C72"/>
    <w:rsid w:val="1B4755B0"/>
    <w:rsid w:val="1B6B6134"/>
    <w:rsid w:val="1BA32D12"/>
    <w:rsid w:val="1BAC0B6B"/>
    <w:rsid w:val="1BB446B9"/>
    <w:rsid w:val="1BE86387"/>
    <w:rsid w:val="1C0A3092"/>
    <w:rsid w:val="1C276FFB"/>
    <w:rsid w:val="1C4B016F"/>
    <w:rsid w:val="1C59328D"/>
    <w:rsid w:val="1C80443B"/>
    <w:rsid w:val="1CA90AAF"/>
    <w:rsid w:val="1CB369A2"/>
    <w:rsid w:val="1CD9364E"/>
    <w:rsid w:val="1CF471F9"/>
    <w:rsid w:val="1D8420C5"/>
    <w:rsid w:val="1DF77AA7"/>
    <w:rsid w:val="1E146797"/>
    <w:rsid w:val="1E305D33"/>
    <w:rsid w:val="1E486B0B"/>
    <w:rsid w:val="1E796393"/>
    <w:rsid w:val="1E7D5094"/>
    <w:rsid w:val="1E8B7F21"/>
    <w:rsid w:val="1E9C25E5"/>
    <w:rsid w:val="1EA2602D"/>
    <w:rsid w:val="1EB0786E"/>
    <w:rsid w:val="1F8D0609"/>
    <w:rsid w:val="1FD22D92"/>
    <w:rsid w:val="1FDC4C51"/>
    <w:rsid w:val="1FE801E9"/>
    <w:rsid w:val="1FF35E35"/>
    <w:rsid w:val="20464C58"/>
    <w:rsid w:val="205674A7"/>
    <w:rsid w:val="20667DE2"/>
    <w:rsid w:val="208A6F6A"/>
    <w:rsid w:val="20A81561"/>
    <w:rsid w:val="20BB471F"/>
    <w:rsid w:val="21405B9D"/>
    <w:rsid w:val="215043A8"/>
    <w:rsid w:val="21526EA5"/>
    <w:rsid w:val="21530189"/>
    <w:rsid w:val="215D32A6"/>
    <w:rsid w:val="21B10A39"/>
    <w:rsid w:val="21B81C30"/>
    <w:rsid w:val="21BC739E"/>
    <w:rsid w:val="21C83ECE"/>
    <w:rsid w:val="21E464DA"/>
    <w:rsid w:val="220379D8"/>
    <w:rsid w:val="22AE7F72"/>
    <w:rsid w:val="22B32C21"/>
    <w:rsid w:val="22BB4077"/>
    <w:rsid w:val="22D075AD"/>
    <w:rsid w:val="23383A5C"/>
    <w:rsid w:val="23906366"/>
    <w:rsid w:val="23B107E7"/>
    <w:rsid w:val="23B27B4C"/>
    <w:rsid w:val="23CD3D7E"/>
    <w:rsid w:val="23DD3D37"/>
    <w:rsid w:val="23EC7071"/>
    <w:rsid w:val="24231158"/>
    <w:rsid w:val="24290AE3"/>
    <w:rsid w:val="242C3D36"/>
    <w:rsid w:val="24435E0A"/>
    <w:rsid w:val="246D6E11"/>
    <w:rsid w:val="24D71F01"/>
    <w:rsid w:val="24DC6388"/>
    <w:rsid w:val="24ED40A4"/>
    <w:rsid w:val="24FA56E8"/>
    <w:rsid w:val="2536069B"/>
    <w:rsid w:val="254F02CE"/>
    <w:rsid w:val="257504C6"/>
    <w:rsid w:val="2576592C"/>
    <w:rsid w:val="2579454A"/>
    <w:rsid w:val="25B32729"/>
    <w:rsid w:val="25CA65D2"/>
    <w:rsid w:val="25DA6C87"/>
    <w:rsid w:val="26086AC6"/>
    <w:rsid w:val="26146634"/>
    <w:rsid w:val="262E4B1E"/>
    <w:rsid w:val="26490F70"/>
    <w:rsid w:val="26945630"/>
    <w:rsid w:val="26B306D1"/>
    <w:rsid w:val="26B560F4"/>
    <w:rsid w:val="26C72E54"/>
    <w:rsid w:val="276D39C3"/>
    <w:rsid w:val="2778644D"/>
    <w:rsid w:val="27832074"/>
    <w:rsid w:val="279344E3"/>
    <w:rsid w:val="27BA6479"/>
    <w:rsid w:val="280A2F35"/>
    <w:rsid w:val="281E2AB5"/>
    <w:rsid w:val="28600DCC"/>
    <w:rsid w:val="28610A1A"/>
    <w:rsid w:val="289A6B28"/>
    <w:rsid w:val="28F04B5E"/>
    <w:rsid w:val="290723AC"/>
    <w:rsid w:val="293163E3"/>
    <w:rsid w:val="294231F3"/>
    <w:rsid w:val="295F0B2D"/>
    <w:rsid w:val="2984116F"/>
    <w:rsid w:val="299F2D7A"/>
    <w:rsid w:val="29B34495"/>
    <w:rsid w:val="29BF2983"/>
    <w:rsid w:val="29C049B4"/>
    <w:rsid w:val="29D741B2"/>
    <w:rsid w:val="29D97CA1"/>
    <w:rsid w:val="2A0A42E6"/>
    <w:rsid w:val="2A5430F7"/>
    <w:rsid w:val="2AA67166"/>
    <w:rsid w:val="2ACB0EB9"/>
    <w:rsid w:val="2B047C41"/>
    <w:rsid w:val="2B472005"/>
    <w:rsid w:val="2B536F21"/>
    <w:rsid w:val="2B873EF8"/>
    <w:rsid w:val="2B8C0380"/>
    <w:rsid w:val="2BA13511"/>
    <w:rsid w:val="2BA17CDC"/>
    <w:rsid w:val="2BBA1A67"/>
    <w:rsid w:val="2BCB3405"/>
    <w:rsid w:val="2BCD35E9"/>
    <w:rsid w:val="2BE47A25"/>
    <w:rsid w:val="2BF40797"/>
    <w:rsid w:val="2C081B43"/>
    <w:rsid w:val="2C27608E"/>
    <w:rsid w:val="2C2E598B"/>
    <w:rsid w:val="2C3C2722"/>
    <w:rsid w:val="2C51752B"/>
    <w:rsid w:val="2C7B637D"/>
    <w:rsid w:val="2C8E388B"/>
    <w:rsid w:val="2CC304A9"/>
    <w:rsid w:val="2CD72E09"/>
    <w:rsid w:val="2CDC7438"/>
    <w:rsid w:val="2D2910A6"/>
    <w:rsid w:val="2D554203"/>
    <w:rsid w:val="2D6F33C4"/>
    <w:rsid w:val="2D845CE8"/>
    <w:rsid w:val="2DCE3686"/>
    <w:rsid w:val="2DD508BC"/>
    <w:rsid w:val="2DD97BC5"/>
    <w:rsid w:val="2E0F02B2"/>
    <w:rsid w:val="2E3C78F5"/>
    <w:rsid w:val="2E591811"/>
    <w:rsid w:val="2E5B7AB7"/>
    <w:rsid w:val="2E7867C9"/>
    <w:rsid w:val="2E79424B"/>
    <w:rsid w:val="2E976DAE"/>
    <w:rsid w:val="2E9F5E52"/>
    <w:rsid w:val="2ECD54C5"/>
    <w:rsid w:val="2F5A0485"/>
    <w:rsid w:val="2F783D8C"/>
    <w:rsid w:val="2F8E10CC"/>
    <w:rsid w:val="2F9B2DEA"/>
    <w:rsid w:val="2FD278C3"/>
    <w:rsid w:val="2FD7548C"/>
    <w:rsid w:val="2FE87441"/>
    <w:rsid w:val="2FF413E7"/>
    <w:rsid w:val="2FFB21C9"/>
    <w:rsid w:val="30165743"/>
    <w:rsid w:val="301E0463"/>
    <w:rsid w:val="303446B2"/>
    <w:rsid w:val="305D5042"/>
    <w:rsid w:val="309E3BD0"/>
    <w:rsid w:val="30A70987"/>
    <w:rsid w:val="30E730CB"/>
    <w:rsid w:val="30F36EDD"/>
    <w:rsid w:val="30F82A10"/>
    <w:rsid w:val="31054E0A"/>
    <w:rsid w:val="31146204"/>
    <w:rsid w:val="316A7FFB"/>
    <w:rsid w:val="31A207F0"/>
    <w:rsid w:val="31AA1CD2"/>
    <w:rsid w:val="31F153C2"/>
    <w:rsid w:val="32135324"/>
    <w:rsid w:val="32412F57"/>
    <w:rsid w:val="327F2151"/>
    <w:rsid w:val="329A7031"/>
    <w:rsid w:val="32D14593"/>
    <w:rsid w:val="33162C3D"/>
    <w:rsid w:val="332517BA"/>
    <w:rsid w:val="335A1372"/>
    <w:rsid w:val="337C4AB9"/>
    <w:rsid w:val="33827CD3"/>
    <w:rsid w:val="3387008D"/>
    <w:rsid w:val="33A806D0"/>
    <w:rsid w:val="33BB24DA"/>
    <w:rsid w:val="33CB64C0"/>
    <w:rsid w:val="33E712BD"/>
    <w:rsid w:val="33F93952"/>
    <w:rsid w:val="33FA3A87"/>
    <w:rsid w:val="33FC0085"/>
    <w:rsid w:val="34221E92"/>
    <w:rsid w:val="34591CB0"/>
    <w:rsid w:val="346202B8"/>
    <w:rsid w:val="34766305"/>
    <w:rsid w:val="34AE1DF9"/>
    <w:rsid w:val="34E31682"/>
    <w:rsid w:val="34EA1CA9"/>
    <w:rsid w:val="351235B5"/>
    <w:rsid w:val="351A5B7A"/>
    <w:rsid w:val="35323CCC"/>
    <w:rsid w:val="356C4F47"/>
    <w:rsid w:val="359B21D9"/>
    <w:rsid w:val="35AD6044"/>
    <w:rsid w:val="35C94BEE"/>
    <w:rsid w:val="36066BAA"/>
    <w:rsid w:val="360B4637"/>
    <w:rsid w:val="362D57BE"/>
    <w:rsid w:val="36574750"/>
    <w:rsid w:val="36975CF7"/>
    <w:rsid w:val="36E800CE"/>
    <w:rsid w:val="36F6671D"/>
    <w:rsid w:val="37215F74"/>
    <w:rsid w:val="3725522E"/>
    <w:rsid w:val="374F753C"/>
    <w:rsid w:val="375458D3"/>
    <w:rsid w:val="377266E1"/>
    <w:rsid w:val="378D5278"/>
    <w:rsid w:val="37CD046D"/>
    <w:rsid w:val="37FC2E67"/>
    <w:rsid w:val="38170738"/>
    <w:rsid w:val="38247DFB"/>
    <w:rsid w:val="384211BB"/>
    <w:rsid w:val="386716FF"/>
    <w:rsid w:val="387B55F6"/>
    <w:rsid w:val="389272E0"/>
    <w:rsid w:val="38B35778"/>
    <w:rsid w:val="38BB5007"/>
    <w:rsid w:val="38CB2E2A"/>
    <w:rsid w:val="38CC32A3"/>
    <w:rsid w:val="38FB7279"/>
    <w:rsid w:val="39006B4A"/>
    <w:rsid w:val="392D2653"/>
    <w:rsid w:val="39386D6D"/>
    <w:rsid w:val="39424B74"/>
    <w:rsid w:val="395F051D"/>
    <w:rsid w:val="39670A08"/>
    <w:rsid w:val="39A74ED7"/>
    <w:rsid w:val="39E470D7"/>
    <w:rsid w:val="39E954BD"/>
    <w:rsid w:val="3A2D4EE5"/>
    <w:rsid w:val="3A766678"/>
    <w:rsid w:val="3A7A287E"/>
    <w:rsid w:val="3A806962"/>
    <w:rsid w:val="3AA32BD7"/>
    <w:rsid w:val="3ACF690F"/>
    <w:rsid w:val="3AD372F6"/>
    <w:rsid w:val="3AE21C51"/>
    <w:rsid w:val="3AEA1FB6"/>
    <w:rsid w:val="3BA373A8"/>
    <w:rsid w:val="3BB93A61"/>
    <w:rsid w:val="3BBA39C2"/>
    <w:rsid w:val="3BDF59BB"/>
    <w:rsid w:val="3BEF200B"/>
    <w:rsid w:val="3C09602C"/>
    <w:rsid w:val="3C287D1B"/>
    <w:rsid w:val="3C5500C5"/>
    <w:rsid w:val="3C5916E2"/>
    <w:rsid w:val="3C741B26"/>
    <w:rsid w:val="3C893E03"/>
    <w:rsid w:val="3C9153BA"/>
    <w:rsid w:val="3CBE5BE4"/>
    <w:rsid w:val="3CBF66BA"/>
    <w:rsid w:val="3CD44BD2"/>
    <w:rsid w:val="3D326D7A"/>
    <w:rsid w:val="3D3C3272"/>
    <w:rsid w:val="3D5E22F7"/>
    <w:rsid w:val="3D9513CD"/>
    <w:rsid w:val="3DB52847"/>
    <w:rsid w:val="3DB73ABE"/>
    <w:rsid w:val="3DEA1701"/>
    <w:rsid w:val="3DEC0025"/>
    <w:rsid w:val="3DEC0B66"/>
    <w:rsid w:val="3E0848FF"/>
    <w:rsid w:val="3E0F3349"/>
    <w:rsid w:val="3E0F6C00"/>
    <w:rsid w:val="3E167EC8"/>
    <w:rsid w:val="3E177435"/>
    <w:rsid w:val="3E2B5513"/>
    <w:rsid w:val="3E3736AD"/>
    <w:rsid w:val="3E5A3EDC"/>
    <w:rsid w:val="3EE46F49"/>
    <w:rsid w:val="3EF66D45"/>
    <w:rsid w:val="3F0739FF"/>
    <w:rsid w:val="3F60143E"/>
    <w:rsid w:val="3F805372"/>
    <w:rsid w:val="400C38A3"/>
    <w:rsid w:val="40107C47"/>
    <w:rsid w:val="40657668"/>
    <w:rsid w:val="409B67FE"/>
    <w:rsid w:val="409C0254"/>
    <w:rsid w:val="40B3336F"/>
    <w:rsid w:val="40C6411E"/>
    <w:rsid w:val="410A2F24"/>
    <w:rsid w:val="41251352"/>
    <w:rsid w:val="41C602F5"/>
    <w:rsid w:val="41C85FE0"/>
    <w:rsid w:val="41D8462D"/>
    <w:rsid w:val="42381F0B"/>
    <w:rsid w:val="4247207A"/>
    <w:rsid w:val="4260438F"/>
    <w:rsid w:val="4273543D"/>
    <w:rsid w:val="427B7FC1"/>
    <w:rsid w:val="427D0A83"/>
    <w:rsid w:val="42B84786"/>
    <w:rsid w:val="42C81F25"/>
    <w:rsid w:val="430E0591"/>
    <w:rsid w:val="432A007D"/>
    <w:rsid w:val="43812C74"/>
    <w:rsid w:val="43831666"/>
    <w:rsid w:val="43936DF7"/>
    <w:rsid w:val="43A74BCB"/>
    <w:rsid w:val="43E73B41"/>
    <w:rsid w:val="43ED4DDE"/>
    <w:rsid w:val="43EE32E6"/>
    <w:rsid w:val="43F93346"/>
    <w:rsid w:val="44140EAA"/>
    <w:rsid w:val="444A10E0"/>
    <w:rsid w:val="444D487C"/>
    <w:rsid w:val="445517BA"/>
    <w:rsid w:val="4470179E"/>
    <w:rsid w:val="450131E5"/>
    <w:rsid w:val="4506176C"/>
    <w:rsid w:val="451942DD"/>
    <w:rsid w:val="45236551"/>
    <w:rsid w:val="452573B0"/>
    <w:rsid w:val="4531446C"/>
    <w:rsid w:val="45A32BCF"/>
    <w:rsid w:val="45A44DCD"/>
    <w:rsid w:val="45B05AD1"/>
    <w:rsid w:val="45DE30FC"/>
    <w:rsid w:val="45E03C8D"/>
    <w:rsid w:val="46064560"/>
    <w:rsid w:val="462E5EEB"/>
    <w:rsid w:val="4646145F"/>
    <w:rsid w:val="46503A49"/>
    <w:rsid w:val="46613824"/>
    <w:rsid w:val="466325D2"/>
    <w:rsid w:val="468D378C"/>
    <w:rsid w:val="46A26BC0"/>
    <w:rsid w:val="46C215CA"/>
    <w:rsid w:val="472D4CF6"/>
    <w:rsid w:val="476A3C1A"/>
    <w:rsid w:val="4770302A"/>
    <w:rsid w:val="47740445"/>
    <w:rsid w:val="47C0041A"/>
    <w:rsid w:val="47D45C9A"/>
    <w:rsid w:val="47D55597"/>
    <w:rsid w:val="47E94B05"/>
    <w:rsid w:val="47F36945"/>
    <w:rsid w:val="47F63440"/>
    <w:rsid w:val="484740A8"/>
    <w:rsid w:val="48734BE1"/>
    <w:rsid w:val="487D3F41"/>
    <w:rsid w:val="48A87B94"/>
    <w:rsid w:val="48CA60B4"/>
    <w:rsid w:val="48EC13B2"/>
    <w:rsid w:val="48F26E1F"/>
    <w:rsid w:val="48FF1AD9"/>
    <w:rsid w:val="49300C32"/>
    <w:rsid w:val="49561C1C"/>
    <w:rsid w:val="495A5F98"/>
    <w:rsid w:val="49675A1A"/>
    <w:rsid w:val="49796A18"/>
    <w:rsid w:val="497A2F9B"/>
    <w:rsid w:val="49D822B4"/>
    <w:rsid w:val="49DA6DFC"/>
    <w:rsid w:val="49DE36B2"/>
    <w:rsid w:val="4A1A78ED"/>
    <w:rsid w:val="4A2D4D4F"/>
    <w:rsid w:val="4A917848"/>
    <w:rsid w:val="4AAA0106"/>
    <w:rsid w:val="4AB1581B"/>
    <w:rsid w:val="4ACC6BB3"/>
    <w:rsid w:val="4ACD77C9"/>
    <w:rsid w:val="4AF26284"/>
    <w:rsid w:val="4B1D5AB5"/>
    <w:rsid w:val="4B5209F3"/>
    <w:rsid w:val="4BEA3E95"/>
    <w:rsid w:val="4C00513D"/>
    <w:rsid w:val="4C025383"/>
    <w:rsid w:val="4C0435AC"/>
    <w:rsid w:val="4C426A60"/>
    <w:rsid w:val="4C4F7949"/>
    <w:rsid w:val="4C875326"/>
    <w:rsid w:val="4C88415F"/>
    <w:rsid w:val="4C892DD7"/>
    <w:rsid w:val="4C992DAF"/>
    <w:rsid w:val="4C9B567F"/>
    <w:rsid w:val="4CC1157E"/>
    <w:rsid w:val="4CD90D2F"/>
    <w:rsid w:val="4D9200E8"/>
    <w:rsid w:val="4D95683A"/>
    <w:rsid w:val="4DA6150B"/>
    <w:rsid w:val="4DBF3E19"/>
    <w:rsid w:val="4DDC2168"/>
    <w:rsid w:val="4E0C2E9B"/>
    <w:rsid w:val="4E3532F4"/>
    <w:rsid w:val="4E3C6162"/>
    <w:rsid w:val="4E781A75"/>
    <w:rsid w:val="4EAC4098"/>
    <w:rsid w:val="4EE05822"/>
    <w:rsid w:val="4EF7020E"/>
    <w:rsid w:val="4F4727FE"/>
    <w:rsid w:val="4F73505B"/>
    <w:rsid w:val="4F856C7E"/>
    <w:rsid w:val="4F8C5E9D"/>
    <w:rsid w:val="4FBB22B6"/>
    <w:rsid w:val="4FCE2830"/>
    <w:rsid w:val="4FD47FCA"/>
    <w:rsid w:val="4FF059FC"/>
    <w:rsid w:val="50025A88"/>
    <w:rsid w:val="504C026E"/>
    <w:rsid w:val="506A0CDB"/>
    <w:rsid w:val="507334E1"/>
    <w:rsid w:val="507A5BD7"/>
    <w:rsid w:val="509A584B"/>
    <w:rsid w:val="50A61790"/>
    <w:rsid w:val="50B61FEE"/>
    <w:rsid w:val="50BA2C10"/>
    <w:rsid w:val="50BE4C74"/>
    <w:rsid w:val="50CB7791"/>
    <w:rsid w:val="50E53426"/>
    <w:rsid w:val="511542C8"/>
    <w:rsid w:val="51267C4C"/>
    <w:rsid w:val="513E0CC7"/>
    <w:rsid w:val="51AA5AFB"/>
    <w:rsid w:val="51BC27B0"/>
    <w:rsid w:val="51DC754F"/>
    <w:rsid w:val="51E503A4"/>
    <w:rsid w:val="522E7E35"/>
    <w:rsid w:val="522F1165"/>
    <w:rsid w:val="5260139D"/>
    <w:rsid w:val="526A60C9"/>
    <w:rsid w:val="52A6080A"/>
    <w:rsid w:val="52DE3525"/>
    <w:rsid w:val="52F37A7E"/>
    <w:rsid w:val="532605FE"/>
    <w:rsid w:val="534013D3"/>
    <w:rsid w:val="537B2198"/>
    <w:rsid w:val="53982CB5"/>
    <w:rsid w:val="53C1594C"/>
    <w:rsid w:val="541B7A0B"/>
    <w:rsid w:val="5469336C"/>
    <w:rsid w:val="5479567D"/>
    <w:rsid w:val="54983006"/>
    <w:rsid w:val="54CD26DC"/>
    <w:rsid w:val="55100F3D"/>
    <w:rsid w:val="5521466C"/>
    <w:rsid w:val="553C3366"/>
    <w:rsid w:val="55417827"/>
    <w:rsid w:val="55732CF6"/>
    <w:rsid w:val="55A92695"/>
    <w:rsid w:val="560D3B4E"/>
    <w:rsid w:val="56266F6F"/>
    <w:rsid w:val="564B1F53"/>
    <w:rsid w:val="564D66AA"/>
    <w:rsid w:val="56B21768"/>
    <w:rsid w:val="56C43E1C"/>
    <w:rsid w:val="56E94652"/>
    <w:rsid w:val="57030BD5"/>
    <w:rsid w:val="576176AA"/>
    <w:rsid w:val="57645A2E"/>
    <w:rsid w:val="57762E8E"/>
    <w:rsid w:val="578B3880"/>
    <w:rsid w:val="57C434B7"/>
    <w:rsid w:val="57CA1416"/>
    <w:rsid w:val="57E84B4C"/>
    <w:rsid w:val="581D264C"/>
    <w:rsid w:val="586409E5"/>
    <w:rsid w:val="586F66D6"/>
    <w:rsid w:val="58742C84"/>
    <w:rsid w:val="58A65354"/>
    <w:rsid w:val="58C55ADB"/>
    <w:rsid w:val="58C8623B"/>
    <w:rsid w:val="591536C1"/>
    <w:rsid w:val="593A172C"/>
    <w:rsid w:val="59552AD3"/>
    <w:rsid w:val="597634BC"/>
    <w:rsid w:val="599678DC"/>
    <w:rsid w:val="5A1769F2"/>
    <w:rsid w:val="5A1A1936"/>
    <w:rsid w:val="5A79179C"/>
    <w:rsid w:val="5A7D380F"/>
    <w:rsid w:val="5AB86FE7"/>
    <w:rsid w:val="5AC66451"/>
    <w:rsid w:val="5ACC69B8"/>
    <w:rsid w:val="5AD173B5"/>
    <w:rsid w:val="5AEA7C61"/>
    <w:rsid w:val="5AF36658"/>
    <w:rsid w:val="5AFE4C96"/>
    <w:rsid w:val="5B730F17"/>
    <w:rsid w:val="5B7B1236"/>
    <w:rsid w:val="5B957F1C"/>
    <w:rsid w:val="5BA11BE8"/>
    <w:rsid w:val="5BA60D1C"/>
    <w:rsid w:val="5BB43102"/>
    <w:rsid w:val="5BBB130B"/>
    <w:rsid w:val="5BD55C6A"/>
    <w:rsid w:val="5C492FD7"/>
    <w:rsid w:val="5C744E01"/>
    <w:rsid w:val="5CD535D0"/>
    <w:rsid w:val="5CD652DB"/>
    <w:rsid w:val="5CEE06DF"/>
    <w:rsid w:val="5CF8187F"/>
    <w:rsid w:val="5D063D96"/>
    <w:rsid w:val="5D1C66B9"/>
    <w:rsid w:val="5D5D0C42"/>
    <w:rsid w:val="5DA62130"/>
    <w:rsid w:val="5DAF2A40"/>
    <w:rsid w:val="5DE80181"/>
    <w:rsid w:val="5DEA0B28"/>
    <w:rsid w:val="5DF90B4E"/>
    <w:rsid w:val="5E187442"/>
    <w:rsid w:val="5E443BCE"/>
    <w:rsid w:val="5E6214C3"/>
    <w:rsid w:val="5E674F7A"/>
    <w:rsid w:val="5E714CB3"/>
    <w:rsid w:val="5E791178"/>
    <w:rsid w:val="5EAF150A"/>
    <w:rsid w:val="5FA84DEE"/>
    <w:rsid w:val="5FB44AA0"/>
    <w:rsid w:val="5FFC1656"/>
    <w:rsid w:val="600D28FE"/>
    <w:rsid w:val="60437FB3"/>
    <w:rsid w:val="60642034"/>
    <w:rsid w:val="60733F65"/>
    <w:rsid w:val="60777E07"/>
    <w:rsid w:val="607D18D9"/>
    <w:rsid w:val="607D252D"/>
    <w:rsid w:val="607F0290"/>
    <w:rsid w:val="60BB71C0"/>
    <w:rsid w:val="60BF2710"/>
    <w:rsid w:val="60F802B5"/>
    <w:rsid w:val="610D745B"/>
    <w:rsid w:val="612620F2"/>
    <w:rsid w:val="61396955"/>
    <w:rsid w:val="61494699"/>
    <w:rsid w:val="615E2606"/>
    <w:rsid w:val="61A93DCC"/>
    <w:rsid w:val="61B53912"/>
    <w:rsid w:val="61EE6E14"/>
    <w:rsid w:val="61F93E33"/>
    <w:rsid w:val="62030149"/>
    <w:rsid w:val="623A2FE4"/>
    <w:rsid w:val="623B2665"/>
    <w:rsid w:val="623B6840"/>
    <w:rsid w:val="62425DF2"/>
    <w:rsid w:val="62731D94"/>
    <w:rsid w:val="627A3EAC"/>
    <w:rsid w:val="629946DD"/>
    <w:rsid w:val="62BE22D8"/>
    <w:rsid w:val="62C06CBF"/>
    <w:rsid w:val="62C4244E"/>
    <w:rsid w:val="62E21E31"/>
    <w:rsid w:val="632309C7"/>
    <w:rsid w:val="632415B7"/>
    <w:rsid w:val="63433210"/>
    <w:rsid w:val="63BF2D4B"/>
    <w:rsid w:val="63ED5D7D"/>
    <w:rsid w:val="63F31931"/>
    <w:rsid w:val="63FB5B09"/>
    <w:rsid w:val="6481568B"/>
    <w:rsid w:val="64A01153"/>
    <w:rsid w:val="64AA5A0F"/>
    <w:rsid w:val="65145F61"/>
    <w:rsid w:val="652F62B2"/>
    <w:rsid w:val="65314CDC"/>
    <w:rsid w:val="65834E5D"/>
    <w:rsid w:val="65C73CC9"/>
    <w:rsid w:val="65EF28CF"/>
    <w:rsid w:val="660261FB"/>
    <w:rsid w:val="66661AB5"/>
    <w:rsid w:val="668B361C"/>
    <w:rsid w:val="66CB3339"/>
    <w:rsid w:val="66DE684B"/>
    <w:rsid w:val="6701538B"/>
    <w:rsid w:val="67421966"/>
    <w:rsid w:val="674C3C22"/>
    <w:rsid w:val="6767609D"/>
    <w:rsid w:val="67815161"/>
    <w:rsid w:val="679C2A4F"/>
    <w:rsid w:val="679D1FDC"/>
    <w:rsid w:val="67B4299D"/>
    <w:rsid w:val="67BF75F1"/>
    <w:rsid w:val="685B2144"/>
    <w:rsid w:val="685E5029"/>
    <w:rsid w:val="68926CF0"/>
    <w:rsid w:val="689C7DC4"/>
    <w:rsid w:val="68BD4138"/>
    <w:rsid w:val="68DF1636"/>
    <w:rsid w:val="69253E50"/>
    <w:rsid w:val="69367DF4"/>
    <w:rsid w:val="695F2CF2"/>
    <w:rsid w:val="697111FB"/>
    <w:rsid w:val="69771617"/>
    <w:rsid w:val="69B226F6"/>
    <w:rsid w:val="69C95392"/>
    <w:rsid w:val="69E34E7B"/>
    <w:rsid w:val="69E74FC7"/>
    <w:rsid w:val="69EF255B"/>
    <w:rsid w:val="6A061A21"/>
    <w:rsid w:val="6A0E4565"/>
    <w:rsid w:val="6A6107B4"/>
    <w:rsid w:val="6A691709"/>
    <w:rsid w:val="6A8F179C"/>
    <w:rsid w:val="6AD91623"/>
    <w:rsid w:val="6AF7208C"/>
    <w:rsid w:val="6B0D01B7"/>
    <w:rsid w:val="6B2D5466"/>
    <w:rsid w:val="6B3D672B"/>
    <w:rsid w:val="6B540EA3"/>
    <w:rsid w:val="6B540EFE"/>
    <w:rsid w:val="6B7B4240"/>
    <w:rsid w:val="6B93084E"/>
    <w:rsid w:val="6B9A4A30"/>
    <w:rsid w:val="6BC17857"/>
    <w:rsid w:val="6BE95A5E"/>
    <w:rsid w:val="6BF665DA"/>
    <w:rsid w:val="6C256C69"/>
    <w:rsid w:val="6C3D7821"/>
    <w:rsid w:val="6C3F2A33"/>
    <w:rsid w:val="6C9D2124"/>
    <w:rsid w:val="6CC23729"/>
    <w:rsid w:val="6CC64B8A"/>
    <w:rsid w:val="6CEB3DBF"/>
    <w:rsid w:val="6D0A5A49"/>
    <w:rsid w:val="6D0D3D19"/>
    <w:rsid w:val="6D1850BC"/>
    <w:rsid w:val="6D3B484F"/>
    <w:rsid w:val="6D4908D6"/>
    <w:rsid w:val="6DDC1DC1"/>
    <w:rsid w:val="6E5F3E90"/>
    <w:rsid w:val="6E6D0370"/>
    <w:rsid w:val="6E794BCD"/>
    <w:rsid w:val="6EF80849"/>
    <w:rsid w:val="6EFB4DCB"/>
    <w:rsid w:val="6F27077B"/>
    <w:rsid w:val="6F594D6F"/>
    <w:rsid w:val="6F7121F2"/>
    <w:rsid w:val="6F9D0191"/>
    <w:rsid w:val="6FBA3F1E"/>
    <w:rsid w:val="6FBB2BC8"/>
    <w:rsid w:val="70342816"/>
    <w:rsid w:val="70874707"/>
    <w:rsid w:val="708F6F06"/>
    <w:rsid w:val="70932BCA"/>
    <w:rsid w:val="70B0102E"/>
    <w:rsid w:val="70C12F5E"/>
    <w:rsid w:val="70C32DB5"/>
    <w:rsid w:val="710B0B0B"/>
    <w:rsid w:val="712C7DC8"/>
    <w:rsid w:val="714B7382"/>
    <w:rsid w:val="715D0235"/>
    <w:rsid w:val="71E5266B"/>
    <w:rsid w:val="71F50096"/>
    <w:rsid w:val="72061303"/>
    <w:rsid w:val="720F3574"/>
    <w:rsid w:val="723F5D8C"/>
    <w:rsid w:val="7265643D"/>
    <w:rsid w:val="727658C7"/>
    <w:rsid w:val="72990ADE"/>
    <w:rsid w:val="72ED674C"/>
    <w:rsid w:val="730E5927"/>
    <w:rsid w:val="731D3349"/>
    <w:rsid w:val="732F6C8F"/>
    <w:rsid w:val="73352933"/>
    <w:rsid w:val="73607959"/>
    <w:rsid w:val="73777ED7"/>
    <w:rsid w:val="738058E6"/>
    <w:rsid w:val="73A90ADD"/>
    <w:rsid w:val="73AF3723"/>
    <w:rsid w:val="73B16F51"/>
    <w:rsid w:val="73E8789D"/>
    <w:rsid w:val="740238DF"/>
    <w:rsid w:val="74163E96"/>
    <w:rsid w:val="74304C66"/>
    <w:rsid w:val="74501460"/>
    <w:rsid w:val="745B3729"/>
    <w:rsid w:val="747E452E"/>
    <w:rsid w:val="747F3AA6"/>
    <w:rsid w:val="74B10200"/>
    <w:rsid w:val="74C2049A"/>
    <w:rsid w:val="74E853F8"/>
    <w:rsid w:val="75055A8C"/>
    <w:rsid w:val="75347801"/>
    <w:rsid w:val="753D0A8A"/>
    <w:rsid w:val="75DF62EF"/>
    <w:rsid w:val="75E82BF4"/>
    <w:rsid w:val="75FC15F6"/>
    <w:rsid w:val="763428FA"/>
    <w:rsid w:val="769A1F19"/>
    <w:rsid w:val="76AB59C6"/>
    <w:rsid w:val="76BA3D28"/>
    <w:rsid w:val="76CD23E0"/>
    <w:rsid w:val="76D0644A"/>
    <w:rsid w:val="76D8067A"/>
    <w:rsid w:val="76F57F2D"/>
    <w:rsid w:val="77021D2E"/>
    <w:rsid w:val="77792521"/>
    <w:rsid w:val="778B1DFE"/>
    <w:rsid w:val="77A67671"/>
    <w:rsid w:val="77EF5945"/>
    <w:rsid w:val="781E3C67"/>
    <w:rsid w:val="78477109"/>
    <w:rsid w:val="785617B5"/>
    <w:rsid w:val="785B66B6"/>
    <w:rsid w:val="785D6E29"/>
    <w:rsid w:val="78715A71"/>
    <w:rsid w:val="789A158E"/>
    <w:rsid w:val="78AC6507"/>
    <w:rsid w:val="79176484"/>
    <w:rsid w:val="7923202E"/>
    <w:rsid w:val="79EC64F6"/>
    <w:rsid w:val="7A48271D"/>
    <w:rsid w:val="7A5B6AA6"/>
    <w:rsid w:val="7B042830"/>
    <w:rsid w:val="7B101B78"/>
    <w:rsid w:val="7B3479E1"/>
    <w:rsid w:val="7B36534B"/>
    <w:rsid w:val="7BAD2677"/>
    <w:rsid w:val="7BD060AF"/>
    <w:rsid w:val="7BD2370A"/>
    <w:rsid w:val="7BE42039"/>
    <w:rsid w:val="7C086264"/>
    <w:rsid w:val="7C587E3E"/>
    <w:rsid w:val="7C5F755C"/>
    <w:rsid w:val="7C7278F9"/>
    <w:rsid w:val="7CC17885"/>
    <w:rsid w:val="7CC25006"/>
    <w:rsid w:val="7CC5559B"/>
    <w:rsid w:val="7D3038A0"/>
    <w:rsid w:val="7D3E77E5"/>
    <w:rsid w:val="7D6971CA"/>
    <w:rsid w:val="7DF37B69"/>
    <w:rsid w:val="7E15423E"/>
    <w:rsid w:val="7E2754D8"/>
    <w:rsid w:val="7E386003"/>
    <w:rsid w:val="7E7913CA"/>
    <w:rsid w:val="7E836A29"/>
    <w:rsid w:val="7EA5622C"/>
    <w:rsid w:val="7EAE0A66"/>
    <w:rsid w:val="7EDD453B"/>
    <w:rsid w:val="7EFB629F"/>
    <w:rsid w:val="7F461144"/>
    <w:rsid w:val="7F4A4BF0"/>
    <w:rsid w:val="7F5E0E5D"/>
    <w:rsid w:val="7FBF15DE"/>
    <w:rsid w:val="7FC42D2E"/>
    <w:rsid w:val="7FE1722B"/>
    <w:rsid w:val="7FF037C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2"/>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3"/>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4"/>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6">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21"/>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5"/>
    <w:unhideWhenUsed/>
    <w:qFormat/>
    <w:uiPriority w:val="99"/>
    <w:pPr>
      <w:jc w:val="left"/>
    </w:p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3">
    <w:name w:val="annotation subject"/>
    <w:basedOn w:val="6"/>
    <w:next w:val="6"/>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正文文本 Char"/>
    <w:link w:val="2"/>
    <w:qFormat/>
    <w:uiPriority w:val="1"/>
    <w:rPr>
      <w:rFonts w:ascii="宋体" w:hAnsi="Times New Roman" w:eastAsia="宋体" w:cs="宋体"/>
      <w:kern w:val="0"/>
      <w:szCs w:val="21"/>
    </w:rPr>
  </w:style>
  <w:style w:type="character" w:customStyle="1" w:styleId="22">
    <w:name w:val="标题 1 Char"/>
    <w:link w:val="3"/>
    <w:qFormat/>
    <w:uiPriority w:val="1"/>
    <w:rPr>
      <w:rFonts w:ascii="黑体" w:hAnsi="Times New Roman" w:eastAsia="黑体" w:cs="黑体"/>
      <w:b/>
      <w:bCs/>
      <w:kern w:val="0"/>
      <w:sz w:val="36"/>
      <w:szCs w:val="36"/>
    </w:rPr>
  </w:style>
  <w:style w:type="character" w:customStyle="1" w:styleId="23">
    <w:name w:val="标题 2 Char"/>
    <w:link w:val="4"/>
    <w:qFormat/>
    <w:uiPriority w:val="9"/>
    <w:rPr>
      <w:rFonts w:ascii="Cambria" w:hAnsi="Cambria" w:eastAsia="宋体" w:cs="Times New Roman"/>
      <w:b/>
      <w:bCs/>
      <w:sz w:val="32"/>
      <w:szCs w:val="32"/>
    </w:rPr>
  </w:style>
  <w:style w:type="character" w:customStyle="1" w:styleId="24">
    <w:name w:val="标题 3 Char"/>
    <w:link w:val="5"/>
    <w:qFormat/>
    <w:uiPriority w:val="1"/>
    <w:rPr>
      <w:rFonts w:ascii="宋体" w:hAnsi="Times New Roman" w:eastAsia="宋体" w:cs="宋体"/>
      <w:b/>
      <w:bCs/>
      <w:kern w:val="0"/>
      <w:szCs w:val="21"/>
    </w:rPr>
  </w:style>
  <w:style w:type="character" w:customStyle="1" w:styleId="25">
    <w:name w:val="批注文字 Char"/>
    <w:link w:val="6"/>
    <w:qFormat/>
    <w:uiPriority w:val="99"/>
    <w:rPr>
      <w:kern w:val="2"/>
      <w:sz w:val="21"/>
      <w:szCs w:val="22"/>
    </w:rPr>
  </w:style>
  <w:style w:type="character" w:customStyle="1" w:styleId="26">
    <w:name w:val="日期 Char"/>
    <w:basedOn w:val="16"/>
    <w:link w:val="7"/>
    <w:semiHidden/>
    <w:qFormat/>
    <w:uiPriority w:val="99"/>
  </w:style>
  <w:style w:type="character" w:customStyle="1" w:styleId="27">
    <w:name w:val="批注框文本 Char"/>
    <w:link w:val="8"/>
    <w:semiHidden/>
    <w:qFormat/>
    <w:uiPriority w:val="99"/>
    <w:rPr>
      <w:sz w:val="18"/>
      <w:szCs w:val="18"/>
    </w:rPr>
  </w:style>
  <w:style w:type="character" w:customStyle="1" w:styleId="28">
    <w:name w:val="页脚 Char"/>
    <w:link w:val="9"/>
    <w:qFormat/>
    <w:uiPriority w:val="99"/>
    <w:rPr>
      <w:sz w:val="18"/>
      <w:szCs w:val="18"/>
    </w:rPr>
  </w:style>
  <w:style w:type="character" w:customStyle="1" w:styleId="29">
    <w:name w:val="页眉 Char"/>
    <w:link w:val="10"/>
    <w:qFormat/>
    <w:uiPriority w:val="99"/>
    <w:rPr>
      <w:sz w:val="18"/>
      <w:szCs w:val="18"/>
    </w:rPr>
  </w:style>
  <w:style w:type="character" w:customStyle="1" w:styleId="30">
    <w:name w:val="脚注文本 Char"/>
    <w:link w:val="11"/>
    <w:qFormat/>
    <w:uiPriority w:val="99"/>
    <w:rPr>
      <w:kern w:val="2"/>
      <w:sz w:val="18"/>
      <w:szCs w:val="18"/>
    </w:rPr>
  </w:style>
  <w:style w:type="character" w:customStyle="1" w:styleId="31">
    <w:name w:val="批注主题 Char"/>
    <w:link w:val="13"/>
    <w:semiHidden/>
    <w:qFormat/>
    <w:uiPriority w:val="99"/>
    <w:rPr>
      <w:b/>
      <w:bCs/>
      <w:kern w:val="2"/>
      <w:sz w:val="21"/>
      <w:szCs w:val="22"/>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3">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4">
    <w:name w:val="List Paragraph"/>
    <w:basedOn w:val="1"/>
    <w:qFormat/>
    <w:uiPriority w:val="72"/>
    <w:pPr>
      <w:ind w:firstLine="420" w:firstLineChars="200"/>
    </w:pPr>
  </w:style>
  <w:style w:type="paragraph" w:customStyle="1" w:styleId="35">
    <w:name w:val="_Style 34"/>
    <w:semiHidden/>
    <w:qFormat/>
    <w:uiPriority w:val="99"/>
    <w:rPr>
      <w:rFonts w:ascii="Times New Roman" w:hAnsi="Times New Roman" w:eastAsia="宋体" w:cs="Times New Roman"/>
      <w:kern w:val="2"/>
      <w:sz w:val="21"/>
      <w:szCs w:val="22"/>
      <w:lang w:val="en-US" w:eastAsia="zh-CN" w:bidi="ar-SA"/>
    </w:rPr>
  </w:style>
  <w:style w:type="character" w:customStyle="1" w:styleId="36">
    <w:name w:val="脚注文本 字符"/>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14828</Words>
  <Characters>15454</Characters>
  <Lines>235</Lines>
  <Paragraphs>66</Paragraphs>
  <TotalTime>73</TotalTime>
  <ScaleCrop>false</ScaleCrop>
  <LinksUpToDate>false</LinksUpToDate>
  <CharactersWithSpaces>15454</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2021-07-03T12:43:00Z</dcterms:created>
  <dc:creator>JSYH</dc:creator>
  <cp:lastModifiedBy>jsyh</cp:lastModifiedBy>
  <cp:lastPrinted>2022-07-26T07:00:00Z</cp:lastPrinted>
  <dcterms:modified xsi:type="dcterms:W3CDTF">2025-10-29T06:27:57Z</dcterms:modified>
  <cp:revision>1651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A720F1D149E949A68E77675940F113CE</vt:lpwstr>
  </property>
</Properties>
</file>