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w:t>
      </w:r>
      <w:r>
        <w:rPr>
          <w:rFonts w:hint="eastAsia" w:ascii="楷体" w:hAnsi="楷体" w:eastAsia="楷体"/>
          <w:b/>
          <w:color w:val="auto"/>
          <w:sz w:val="28"/>
          <w:szCs w:val="28"/>
          <w:lang w:val="en-US" w:eastAsia="zh-CN"/>
        </w:rPr>
        <w:t>苏银理财</w:t>
      </w:r>
      <w:r>
        <w:rPr>
          <w:rFonts w:hint="eastAsia" w:ascii="楷体" w:hAnsi="楷体" w:eastAsia="楷体"/>
          <w:b/>
          <w:color w:val="auto"/>
          <w:sz w:val="28"/>
          <w:szCs w:val="28"/>
        </w:rPr>
        <w:t>恒源灵动最短持有</w:t>
      </w:r>
      <w:r>
        <w:rPr>
          <w:rFonts w:hint="eastAsia" w:ascii="楷体" w:hAnsi="楷体" w:eastAsia="楷体"/>
          <w:b/>
          <w:color w:val="auto"/>
          <w:sz w:val="28"/>
          <w:szCs w:val="28"/>
          <w:lang w:val="en-US" w:eastAsia="zh-CN"/>
        </w:rPr>
        <w:t>14</w:t>
      </w:r>
      <w:r>
        <w:rPr>
          <w:rFonts w:hint="eastAsia" w:ascii="楷体" w:hAnsi="楷体" w:eastAsia="楷体"/>
          <w:b/>
          <w:color w:val="auto"/>
          <w:sz w:val="28"/>
          <w:szCs w:val="28"/>
        </w:rPr>
        <w:t>天</w:t>
      </w:r>
      <w:r>
        <w:rPr>
          <w:rFonts w:hint="eastAsia" w:ascii="楷体" w:hAnsi="楷体" w:eastAsia="楷体"/>
          <w:b/>
          <w:color w:val="auto"/>
          <w:sz w:val="28"/>
          <w:szCs w:val="28"/>
          <w:lang w:val="en-US" w:eastAsia="zh-CN"/>
        </w:rPr>
        <w:t>21</w:t>
      </w:r>
      <w:r>
        <w:rPr>
          <w:rFonts w:hint="eastAsia" w:ascii="楷体" w:hAnsi="楷体" w:eastAsia="楷体"/>
          <w:b/>
          <w:color w:val="auto"/>
          <w:sz w:val="28"/>
          <w:szCs w:val="28"/>
        </w:rPr>
        <w:t>号”理财产品风险揭示书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bookmarkStart w:id="0" w:name="_GoBack"/>
      <w:bookmarkEnd w:id="0"/>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0" w:firstLineChars="200"/>
        <w:rPr>
          <w:rFonts w:hint="eastAsia" w:ascii="楷体" w:hAnsi="楷体" w:eastAsia="楷体"/>
          <w:b/>
          <w:bCs w:val="0"/>
          <w:color w:val="auto"/>
          <w:sz w:val="21"/>
          <w:szCs w:val="21"/>
        </w:rPr>
      </w:pPr>
      <w:r>
        <w:rPr>
          <w:rFonts w:hint="default" w:ascii="楷体" w:hAnsi="楷体" w:eastAsia="楷体"/>
          <w:b w:val="0"/>
          <w:bCs/>
          <w:color w:val="auto"/>
          <w:sz w:val="21"/>
          <w:szCs w:val="21"/>
        </w:rPr>
        <w:t>①</w:t>
      </w:r>
      <w:r>
        <w:rPr>
          <w:rFonts w:hint="eastAsia" w:ascii="楷体" w:hAnsi="楷体" w:eastAsia="楷体"/>
          <w:b w:val="0"/>
          <w:bCs/>
          <w:color w:val="auto"/>
          <w:sz w:val="21"/>
          <w:szCs w:val="21"/>
        </w:rPr>
        <w:t>国家货币政策、财政政策、产业政策等的变化对证券市场产生一定的影响，导致市场价格水平波动的风险。</w:t>
      </w:r>
      <w:r>
        <w:rPr>
          <w:rFonts w:hint="default" w:ascii="楷体" w:hAnsi="楷体" w:eastAsia="楷体"/>
          <w:b w:val="0"/>
          <w:bCs/>
          <w:color w:val="auto"/>
          <w:sz w:val="21"/>
          <w:szCs w:val="21"/>
        </w:rPr>
        <w:t>②</w:t>
      </w:r>
      <w:r>
        <w:rPr>
          <w:rFonts w:hint="eastAsia" w:ascii="楷体" w:hAnsi="楷体" w:eastAsia="楷体"/>
          <w:b w:val="0"/>
          <w:bCs/>
          <w:color w:val="auto"/>
          <w:sz w:val="21"/>
          <w:szCs w:val="21"/>
        </w:rPr>
        <w:t>宏观经济运行周期性波动，对股票市场的收益水平产生影响的风险。</w:t>
      </w:r>
      <w:r>
        <w:rPr>
          <w:rFonts w:hint="default" w:ascii="楷体" w:hAnsi="楷体" w:eastAsia="楷体"/>
          <w:b w:val="0"/>
          <w:bCs/>
          <w:color w:val="auto"/>
          <w:sz w:val="21"/>
          <w:szCs w:val="21"/>
        </w:rPr>
        <w:t>③</w:t>
      </w:r>
      <w:r>
        <w:rPr>
          <w:rFonts w:hint="eastAsia" w:ascii="楷体" w:hAnsi="楷体" w:eastAsia="楷体"/>
          <w:b w:val="0"/>
          <w:bCs/>
          <w:color w:val="auto"/>
          <w:sz w:val="21"/>
          <w:szCs w:val="21"/>
        </w:rPr>
        <w:t>上市公司的经营状况受多种因素影响，如市场、技术、竞争、管理、财务等都会导致公司盈利发生变化，从而导致股票价格变动的风险。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结构性存款的特殊风险</w:t>
      </w:r>
    </w:p>
    <w:p>
      <w:pPr>
        <w:numPr>
          <w:ilvl w:val="0"/>
          <w:numId w:val="0"/>
        </w:numPr>
        <w:tabs>
          <w:tab w:val="left" w:pos="742"/>
        </w:tabs>
        <w:ind w:firstLine="420" w:firstLineChars="200"/>
        <w:rPr>
          <w:rFonts w:hint="eastAsia"/>
          <w:lang w:val="en-US" w:eastAsia="zh-CN"/>
        </w:rPr>
      </w:pPr>
      <w:r>
        <w:rPr>
          <w:rFonts w:hint="eastAsia" w:ascii="楷体" w:hAnsi="楷体" w:eastAsia="楷体" w:cs="楷体"/>
          <w:color w:val="auto"/>
          <w:sz w:val="21"/>
          <w:szCs w:val="21"/>
          <w:lang w:val="en-US" w:eastAsia="zh-CN"/>
        </w:rPr>
        <w:t>①市场风险。结构性存款挂钩的境内外债券、股票、利率、汇率、指数等标的受相关国家或地区的金融市场和经济趋势的影响，收益存在不确定性。②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③利率风险。结构性存款如挂钩特定债券或债券指数，可能因相关利率变动而导致产品收益发生变化。④汇率风险。结构性存款如挂钩境外证券资产，可能面临以非人民币计价的各类资产受汇率波动影响而引起人民币估值下的理财产品资产净值波动的风险。⑤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10"/>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72B66"/>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AC1004"/>
    <w:rsid w:val="10BD5C09"/>
    <w:rsid w:val="10BE78BE"/>
    <w:rsid w:val="10C664A7"/>
    <w:rsid w:val="10C81A80"/>
    <w:rsid w:val="10D80961"/>
    <w:rsid w:val="10D84BB2"/>
    <w:rsid w:val="10E55ACF"/>
    <w:rsid w:val="10E92EAE"/>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9D0212"/>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0F4644"/>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82C57"/>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82F34"/>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3F7D28"/>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A71043"/>
    <w:rsid w:val="39B23A0E"/>
    <w:rsid w:val="39B32288"/>
    <w:rsid w:val="39B77B25"/>
    <w:rsid w:val="39BE7535"/>
    <w:rsid w:val="39C1457C"/>
    <w:rsid w:val="39C82975"/>
    <w:rsid w:val="39CA7B6B"/>
    <w:rsid w:val="39DB415E"/>
    <w:rsid w:val="39EA554C"/>
    <w:rsid w:val="39EE617E"/>
    <w:rsid w:val="39F46F6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675B8"/>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270CB5"/>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EFA6A18"/>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63D1"/>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416D98"/>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4171C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4E5867"/>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1</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2025-10-27T11:07:51Z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