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bookmarkStart w:id="0" w:name="_GoBack"/>
      <w:bookmarkEnd w:id="0"/>
      <w:r>
        <w:rPr>
          <w:rFonts w:hint="eastAsia" w:ascii="宋体" w:hAnsi="宋体" w:eastAsia="宋体" w:cs="宋体"/>
          <w:b/>
          <w:bCs/>
          <w:kern w:val="2"/>
          <w:sz w:val="44"/>
          <w:szCs w:val="44"/>
          <w:highlight w:val="none"/>
          <w:lang w:val="en-US" w:eastAsia="zh" w:bidi="ar-SA"/>
        </w:rPr>
        <w:t>幸福99丰裕固收763天25249期理财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Z7002226000029</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幸福99丰裕固收763天25249期理财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幸福99丰裕固收763天25249期理财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丰裕固收25249期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FYG25249</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Z7002226000029</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A份额（销售代码〖FYG25249A〗）：普通个人投资者和机构客户。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B份额（销售代码〖FYG25249B〗）：普通个人投资者和机构客户。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C份额（销售代码〖FYG25249C〗）：普通个人投资者和机构客户。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D份额（销售代码〖FYG25249D〗）：普通个人投资者和机构客户。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E份额（幸福金桂）（销售代码〖FYG25249E〗）：普通个人投资者和机构客户。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F份额（幸福金桂私行专属）（销售代码〖FYG25249F〗）：普通个人投资者和机构客户。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H份额（汉口银行新春专属）（销售代码〖FYG25249H〗）：普通个人投资者和机构客户。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I份额（爽盈优选）（销售代码〖FYG25249I〗）：普通个人投资者和机构客户。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L份额（天府·优选-新春专享）（销售代码〖FYG25249L〗）：普通个人投资者和机构客户。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M份额（天府·优选）（销售代码〖FYG25249M〗）：普通个人投资者和机构客户。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N份额惠享款（长长财富·专属）（销售代码〖FYG25249N〗）：普通个人投资者和机构客户。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P份额（芙蓉锦程·优选）（销售代码〖FYG25249P〗）：普通个人投资者和机构客户。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Q份额（芙蓉锦程·优选-尊享款）（销售代码〖FYG25249Q〗）：普通个人投资者和机构客户。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R份额（兰州银行开门红专属）（销售代码〖FYG25249R〗）：普通个人投资者和机构客户。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W份额惠享款（销售代码〖FYG25249W〗）：普通个人投资者和机构客户。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Y份额惠享款（销售代码〖FYG25249Y〗）：普通个人投资者和机构客户。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Z份额惠享款（销售代码〖FYG25249Z〗）：普通个人投资者和机构客户。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29</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4</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2028</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9</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763</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〖F份额〗起点〖1〗元整，超过认购起点部分，应为〖1〗元的整数倍。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本理财计划〖C份额〗业绩比较基准为〖2.70%-2.90%〗（年化）。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本理财计划〖F份额〗业绩比较基准为〖2.65%-2.85%〗（年化）。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本理财计划〖H份额〗业绩比较基准为〖2.85%-3.05%〗（年化）。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本理财计划〖Q份额〗业绩比较基准为〖2.80%-3.00%〗（年化）。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本理财计划〖Z份额〗业绩比较基准为〖2.70%-2.90%〗（年化）。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〖E份额〗收取年化〖0.20%〗的销售服务费, 〖F份额〗收取年化〖0.15%〗的销售服务费, 〖H份额〗收取年化〖0.01%〗的销售服务费, 〖I份额〗收取年化〖0.30%〗的销售服务费, 〖L份额〗收取年化〖0.05%〗的销售服务费, 〖M份额〗收取年化〖0.15%〗的销售服务费, 〖N份额〗收取年化〖0.20%〗的销售服务费, 〖P份额〗收取年化〖0.15%〗的销售服务费, 〖Q份额〗收取年化〖0.05%〗的销售服务费, 〖R份额〗收取年化〖0.15%〗的销售服务费, 〖W份额〗收取年化〖0.30%〗的销售服务费, 〖Y份额〗收取年化〖0.20%〗的销售服务费, 〖Z份额〗收取年化〖0.10%〗的销售服务费。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〖E份额〗收取年化〖0.10%〗的固定管理费, 〖F份额〗收取年化〖0.10%〗的固定管理费, 〖H份额〗收取年化〖0.04%〗的固定管理费, 〖I份额〗收取年化〖0.10%〗的固定管理费, 〖L份额〗收取年化〖0.05%〗的固定管理费, 〖M份额〗收取年化〖0.10%〗的固定管理费, 〖N份额〗收取年化〖0.10%〗的固定管理费, 〖P份额〗收取年化〖0.10%〗的固定管理费, 〖Q份额〗收取年化〖0.05%〗的固定管理费, 〖R份额〗收取年化〖0.10%〗的固定管理费, 〖W份额〗收取年化〖0.10%〗的固定管理费, 〖Y份额〗收取年化〖0.10%〗的固定管理费, 〖Z份额〗收取年化〖0.10%〗的固定管理费。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到期日（提前终止日）的折合年化收益率在〖业绩比较基准下限（含）至业绩比较基准上限（含）〗的部分，管理人提取〖50%〗作为浮动管理费，在折合年化收益率超过〖业绩比较基准上限〗的部分，管理人提取〖80%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F份额〗、〖H份额〗、〖I份额〗、〖L份额〗、〖M份额〗、〖P份额〗、〖Q份额〗、〖R份额〗和销售服务费于产品成立日一次性收取的〖N份额〗、〖W份额〗、〖Y份额〗、〖Z份额〗。A份额的年化销售服务费率为〖0.30%〗, B份额的年化销售服务费率为〖0.20%〗, C份额的年化销售服务费率为〖0.10%〗, D份额的年化销售服务费率为〖0.15%〗, E份额的年化销售服务费率为〖0.20%〗, F份额的年化销售服务费率为〖0.15%〗, H份额的年化销售服务费率为〖0.01%〗, I份额的年化销售服务费率为〖0.30%〗, L份额的年化销售服务费率为〖0.05%〗, M份额的年化销售服务费率为〖0.15%〗, N份额的年化销售服务费率为〖0.20%〗, P份额的年化销售服务费率为〖0.15%〗, Q份额的年化销售服务费率为〖0.05%〗, R份额的年化销售服务费率为〖0.15%〗, W份额的年化销售服务费率为〖0.30%〗, Y份额的年化销售服务费率为〖0.20%〗, Z份额的年化销售服务费率为〖0.10%〗。两种计算方法如下：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E份额的年化固定管理费率为〖0.10%〗, F份额的年化固定管理费率为〖0.10%〗, H份额的年化固定管理费率为〖0.04%〗, I份额的年化固定管理费率为〖0.10%〗, L份额的年化固定管理费率为〖0.05%〗, M份额的年化固定管理费率为〖0.10%〗, N份额的年化固定管理费率为〖0.10%〗, P份额的年化固定管理费率为〖0.10%〗, Q份额的年化固定管理费率为〖0.05%〗, R份额的年化固定管理费率为〖0.10%〗, W份额的年化固定管理费率为〖0.10%〗, Y份额的年化固定管理费率为〖0.10%〗, 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2FB01FE"/>
    <w:rsid w:val="34105616"/>
    <w:rsid w:val="3486580A"/>
    <w:rsid w:val="34A35A92"/>
    <w:rsid w:val="34A453A9"/>
    <w:rsid w:val="34EC3C25"/>
    <w:rsid w:val="351A5D92"/>
    <w:rsid w:val="35AA025C"/>
    <w:rsid w:val="35CA7D73"/>
    <w:rsid w:val="361A3B12"/>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291767"/>
    <w:rsid w:val="4745701D"/>
    <w:rsid w:val="47AC6180"/>
    <w:rsid w:val="48BF1281"/>
    <w:rsid w:val="4B2F6DF6"/>
    <w:rsid w:val="4CC51C60"/>
    <w:rsid w:val="4D3204EA"/>
    <w:rsid w:val="4D697EB1"/>
    <w:rsid w:val="4D7EE1B8"/>
    <w:rsid w:val="4DFF95C2"/>
    <w:rsid w:val="4E08799D"/>
    <w:rsid w:val="4E2B414A"/>
    <w:rsid w:val="4F5679CC"/>
    <w:rsid w:val="501840BA"/>
    <w:rsid w:val="51677300"/>
    <w:rsid w:val="52B042C0"/>
    <w:rsid w:val="53827B5D"/>
    <w:rsid w:val="53E86B53"/>
    <w:rsid w:val="54D66C67"/>
    <w:rsid w:val="54ED47F2"/>
    <w:rsid w:val="568633C7"/>
    <w:rsid w:val="57061882"/>
    <w:rsid w:val="57280BF2"/>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8E500FC"/>
    <w:rsid w:val="7A923507"/>
    <w:rsid w:val="7AAFF850"/>
    <w:rsid w:val="7ACB640D"/>
    <w:rsid w:val="7BFF1A29"/>
    <w:rsid w:val="7C044D89"/>
    <w:rsid w:val="7C63442B"/>
    <w:rsid w:val="7D3AA22F"/>
    <w:rsid w:val="7D9F2F3F"/>
    <w:rsid w:val="7DE35ECA"/>
    <w:rsid w:val="7E1A0C5A"/>
    <w:rsid w:val="7E3212D3"/>
    <w:rsid w:val="7E7F7BE9"/>
    <w:rsid w:val="7F5F887D"/>
    <w:rsid w:val="7F9FC635"/>
    <w:rsid w:val="7FCC7D05"/>
    <w:rsid w:val="7FEF42B8"/>
    <w:rsid w:val="7FEFE414"/>
    <w:rsid w:val="7FF921F7"/>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uiPriority w:val="0"/>
    <w:rPr>
      <w:rFonts w:ascii="Calibri" w:hAnsi="Calibri" w:cs="黑体"/>
      <w:b/>
      <w:bCs/>
      <w:kern w:val="2"/>
      <w:sz w:val="21"/>
      <w:szCs w:val="24"/>
    </w:rPr>
  </w:style>
  <w:style w:type="paragraph" w:customStyle="1" w:styleId="16">
    <w:name w:val="List Paragraph"/>
    <w:basedOn w:val="1"/>
    <w:unhideWhenUsed/>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37223</Words>
  <Characters>39923</Characters>
  <Lines>1</Lines>
  <Paragraphs>1</Paragraphs>
  <TotalTime>0</TotalTime>
  <ScaleCrop>false</ScaleCrop>
  <LinksUpToDate>false</LinksUpToDate>
  <CharactersWithSpaces>40398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2026-01-22T06:23:32Z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0BF983AAE440FD601A7A706920AF83DD_43</vt:lpwstr>
  </property>
</Properties>
</file>