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C64" w:rsidRDefault="003A0E44">
      <w:pPr>
        <w:spacing w:line="0" w:lineRule="atLeast"/>
        <w:jc w:val="center"/>
        <w:rPr>
          <w:b/>
          <w:bCs/>
          <w:kern w:val="0"/>
          <w:sz w:val="24"/>
          <w:szCs w:val="24"/>
        </w:rPr>
      </w:pPr>
      <w:bookmarkStart w:id="0" w:name="_GoBack"/>
      <w:bookmarkEnd w:id="0"/>
      <w:r>
        <w:rPr>
          <w:rFonts w:hint="eastAsia"/>
          <w:b/>
          <w:bCs/>
          <w:kern w:val="0"/>
          <w:sz w:val="24"/>
          <w:szCs w:val="24"/>
        </w:rPr>
        <w:t>理财产品风险揭示书</w:t>
      </w:r>
    </w:p>
    <w:p w:rsidR="002E4C64" w:rsidRDefault="003A0E44">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2E4C64" w:rsidRDefault="003A0E44">
      <w:pPr>
        <w:widowControl/>
        <w:spacing w:line="200" w:lineRule="exact"/>
        <w:ind w:firstLineChars="200" w:firstLine="261"/>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封闭式、固定收益类、公募、净值型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全部或部分损失，在您选择购买本理财产品前，您应仔细阅读对应期次的《理财产品风险揭示书》《理财产品说明书》《投资者权益须知》《理财产品销售协议书》和《理财产品投资协议书》（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），了解本理财产品信息及详细条款。</w:t>
      </w:r>
    </w:p>
    <w:p w:rsidR="002E4C64" w:rsidRDefault="003A0E44">
      <w:pPr>
        <w:widowControl/>
        <w:spacing w:line="200" w:lineRule="exact"/>
        <w:ind w:firstLineChars="200" w:firstLine="261"/>
        <w:rPr>
          <w:b/>
          <w:color w:val="3D3D3D"/>
          <w:kern w:val="0"/>
          <w:sz w:val="13"/>
          <w:szCs w:val="13"/>
        </w:rPr>
      </w:pPr>
      <w:r>
        <w:rPr>
          <w:rFonts w:hint="eastAsia"/>
          <w:b/>
          <w:color w:val="3D3D3D"/>
          <w:kern w:val="0"/>
          <w:sz w:val="13"/>
          <w:szCs w:val="13"/>
        </w:rPr>
        <w:t>重要提示：南银理财有限责任公司（以下简称为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rsidR="002E4C64" w:rsidRDefault="003A0E44">
      <w:pPr>
        <w:widowControl/>
        <w:spacing w:line="200" w:lineRule="exact"/>
        <w:ind w:firstLineChars="200" w:firstLine="261"/>
        <w:rPr>
          <w:color w:val="3D3D3D"/>
          <w:kern w:val="0"/>
          <w:sz w:val="13"/>
          <w:szCs w:val="13"/>
        </w:rPr>
      </w:pPr>
      <w:r>
        <w:rPr>
          <w:rFonts w:hint="eastAsia"/>
          <w:b/>
          <w:color w:val="3D3D3D"/>
          <w:kern w:val="0"/>
          <w:sz w:val="13"/>
          <w:szCs w:val="13"/>
        </w:rPr>
        <w:t>本风险揭示书列示的风险指理财产品项下可能涉及的风险，包括但不限于：</w:t>
      </w:r>
    </w:p>
    <w:p w:rsidR="002E4C64" w:rsidRDefault="003A0E44">
      <w:pPr>
        <w:widowControl/>
        <w:spacing w:line="200" w:lineRule="exact"/>
        <w:ind w:firstLineChars="200" w:firstLine="26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理财产品投资商品及金融衍生品类产品可能面临衍生品公允价值变化风险等。</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rsidR="002E4C64" w:rsidRDefault="003A0E44">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rsidR="002E4C64" w:rsidRDefault="003A0E44">
      <w:pPr>
        <w:widowControl/>
        <w:spacing w:line="200" w:lineRule="exact"/>
        <w:ind w:firstLine="260"/>
        <w:rPr>
          <w:b/>
          <w:bCs/>
          <w:color w:val="3D3D3D"/>
          <w:kern w:val="0"/>
          <w:sz w:val="13"/>
          <w:szCs w:val="13"/>
        </w:rPr>
      </w:pPr>
      <w:r>
        <w:rPr>
          <w:rFonts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rsidR="002E4C64" w:rsidRDefault="003A0E44">
      <w:pPr>
        <w:widowControl/>
        <w:spacing w:line="200" w:lineRule="exact"/>
        <w:ind w:firstLine="260"/>
        <w:rPr>
          <w:b/>
          <w:bCs/>
          <w:color w:val="3D3D3D"/>
          <w:kern w:val="0"/>
          <w:sz w:val="13"/>
          <w:szCs w:val="13"/>
        </w:rPr>
      </w:pPr>
      <w:r>
        <w:rPr>
          <w:rFonts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（十六）代销风险：本理财产品通过代销机构销售时，认购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color w:val="3D3D3D"/>
          <w:kern w:val="0"/>
          <w:sz w:val="13"/>
          <w:szCs w:val="13"/>
        </w:rPr>
        <w:t>/</w:t>
      </w:r>
      <w:r>
        <w:rPr>
          <w:rFonts w:hint="eastAsia"/>
          <w:color w:val="3D3D3D"/>
          <w:kern w:val="0"/>
          <w:sz w:val="13"/>
          <w:szCs w:val="13"/>
        </w:rPr>
        <w:t>申购资金划转至南银理财，将导致投资者无法完成认购</w:t>
      </w:r>
      <w:r>
        <w:rPr>
          <w:color w:val="3D3D3D"/>
          <w:kern w:val="0"/>
          <w:sz w:val="13"/>
          <w:szCs w:val="13"/>
        </w:rPr>
        <w:t>/</w:t>
      </w:r>
      <w:r>
        <w:rPr>
          <w:rFonts w:hint="eastAsia"/>
          <w:color w:val="3D3D3D"/>
          <w:kern w:val="0"/>
          <w:sz w:val="13"/>
          <w:szCs w:val="13"/>
        </w:rPr>
        <w:t>申购，因此造成的损失南银理财不承担</w:t>
      </w:r>
      <w:r>
        <w:rPr>
          <w:rFonts w:hint="eastAsia"/>
          <w:color w:val="3D3D3D"/>
          <w:kern w:val="0"/>
          <w:sz w:val="13"/>
          <w:szCs w:val="13"/>
        </w:rPr>
        <w:lastRenderedPageBreak/>
        <w:t>责任。在赎回和产品终止清算时，南银理财将投资者应得资金划转至代销机构指定账户后，由代销机构将相应应得资金划转至投资者账户。若代销机构未及时进行划付，因此造成的损失南银理财不承担任何责任。如果代销机构用于划付理财产品项下资金的账户内资金被依法冻结或扣划、账户处于被挂失、冻结、注销或其他非正常状态等原因而导致交易失败的，由代销机构与投资者依法协商解决。</w:t>
      </w:r>
    </w:p>
    <w:p w:rsidR="002E4C64" w:rsidRDefault="003A0E44">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rsidR="002E4C64" w:rsidRDefault="003A0E44">
      <w:pPr>
        <w:widowControl/>
        <w:spacing w:line="200" w:lineRule="exact"/>
        <w:ind w:firstLine="260"/>
        <w:rPr>
          <w:sz w:val="20"/>
          <w:szCs w:val="20"/>
        </w:rPr>
      </w:pPr>
      <w:r>
        <w:rPr>
          <w:rFonts w:hint="eastAsia"/>
          <w:color w:val="3D3D3D"/>
          <w:kern w:val="0"/>
          <w:sz w:val="13"/>
          <w:szCs w:val="13"/>
        </w:rPr>
        <w:t>（十八）关联交易风险：在合法合规且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2E4C64" w:rsidRDefault="003A0E44">
      <w:pPr>
        <w:pStyle w:val="Normal89c68fc5"/>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rsidR="002E4C64" w:rsidRDefault="003A0E44">
      <w:pPr>
        <w:spacing w:line="200" w:lineRule="exact"/>
      </w:pPr>
      <w:r>
        <w:rPr>
          <w:rFonts w:cs="宋体"/>
          <w:b/>
          <w:sz w:val="13"/>
          <w:szCs w:val="20"/>
        </w:rPr>
        <w:t xml:space="preserve">    1.债券类资产投资风险</w:t>
      </w:r>
    </w:p>
    <w:p w:rsidR="002E4C64" w:rsidRDefault="003A0E44">
      <w:pPr>
        <w:spacing w:line="200" w:lineRule="exact"/>
      </w:pPr>
      <w:r>
        <w:rPr>
          <w:rFonts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rsidR="002E4C64" w:rsidRDefault="003A0E44">
      <w:pPr>
        <w:spacing w:line="200" w:lineRule="exact"/>
      </w:pPr>
      <w:r>
        <w:rPr>
          <w:rFonts w:cs="宋体"/>
          <w:b/>
          <w:sz w:val="13"/>
          <w:szCs w:val="20"/>
        </w:rPr>
        <w:t xml:space="preserve">    2.非标准化债权类资产投资风险</w:t>
      </w:r>
    </w:p>
    <w:p w:rsidR="002E4C64" w:rsidRDefault="003A0E44">
      <w:pPr>
        <w:spacing w:line="200" w:lineRule="exact"/>
      </w:pPr>
      <w:r>
        <w:rPr>
          <w:rFonts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rsidR="002E4C64" w:rsidRDefault="003A0E44">
      <w:pPr>
        <w:spacing w:line="200" w:lineRule="exact"/>
      </w:pPr>
      <w:r>
        <w:rPr>
          <w:rFonts w:cs="宋体"/>
          <w:b/>
          <w:sz w:val="13"/>
          <w:szCs w:val="20"/>
        </w:rPr>
        <w:t xml:space="preserve">    3.资产管理产品投资风险</w:t>
      </w:r>
    </w:p>
    <w:p w:rsidR="002E4C64" w:rsidRDefault="003A0E44">
      <w:pPr>
        <w:spacing w:line="200" w:lineRule="exact"/>
      </w:pPr>
      <w:r>
        <w:rPr>
          <w:rFonts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rsidR="002E4C64" w:rsidRDefault="003A0E44">
      <w:pPr>
        <w:spacing w:line="200" w:lineRule="exact"/>
      </w:pPr>
      <w:r>
        <w:rPr>
          <w:rFonts w:cs="宋体"/>
          <w:b/>
          <w:sz w:val="13"/>
          <w:szCs w:val="20"/>
        </w:rPr>
        <w:t xml:space="preserve">    4.非标准化债权类资产无法投资的风险</w:t>
      </w:r>
    </w:p>
    <w:p w:rsidR="002E4C64" w:rsidRDefault="003A0E44">
      <w:pPr>
        <w:spacing w:line="200" w:lineRule="exact"/>
      </w:pPr>
      <w:r>
        <w:rPr>
          <w:rFonts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br/>
      </w:r>
      <w:r>
        <w:rPr>
          <w:rFonts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br/>
      </w:r>
      <w:r>
        <w:rPr>
          <w:rFonts w:cs="宋体"/>
          <w:b/>
          <w:sz w:val="13"/>
          <w:szCs w:val="20"/>
        </w:rPr>
        <w:t xml:space="preserve">    （2）若本理财产品已成立，则管理人有权提前终止本理财产品，自产品成立至提前终止日期间不计任何收益。</w:t>
      </w:r>
    </w:p>
    <w:p w:rsidR="002E4C64" w:rsidRDefault="003A0E44">
      <w:pPr>
        <w:pStyle w:val="Normal89c68fc5"/>
        <w:widowControl/>
        <w:spacing w:line="200" w:lineRule="exact"/>
        <w:ind w:firstLine="260"/>
        <w:rPr>
          <w:b/>
          <w:bCs/>
          <w:color w:val="3D3D3D"/>
          <w:kern w:val="0"/>
          <w:sz w:val="13"/>
          <w:szCs w:val="13"/>
        </w:rPr>
      </w:pPr>
      <w:r>
        <w:rPr>
          <w:rFonts w:hint="eastAsia"/>
          <w:b/>
          <w:bCs/>
          <w:color w:val="3D3D3D"/>
          <w:kern w:val="0"/>
          <w:sz w:val="13"/>
          <w:szCs w:val="13"/>
        </w:rPr>
        <w:t>本理财产品类型：封闭式、固定收益类、公募、净值型。</w:t>
      </w:r>
    </w:p>
    <w:p w:rsidR="002E4C64" w:rsidRDefault="003A0E44">
      <w:pPr>
        <w:pStyle w:val="Normal89c68fc5"/>
        <w:widowControl/>
        <w:spacing w:line="200" w:lineRule="exact"/>
        <w:ind w:firstLine="270"/>
        <w:rPr>
          <w:b/>
          <w:bCs/>
          <w:color w:val="3D3D3D"/>
          <w:kern w:val="0"/>
          <w:sz w:val="13"/>
          <w:szCs w:val="13"/>
        </w:rPr>
      </w:pPr>
      <w:r>
        <w:rPr>
          <w:rFonts w:hint="eastAsia"/>
          <w:b/>
          <w:color w:val="3D3D3D"/>
          <w:kern w:val="0"/>
          <w:sz w:val="13"/>
          <w:szCs w:val="13"/>
        </w:rPr>
        <w:t>本理财产品期限为</w:t>
      </w:r>
      <w:r>
        <w:rPr>
          <w:rFonts w:hint="eastAsia"/>
          <w:b/>
          <w:bCs/>
          <w:color w:val="3D3D3D"/>
          <w:kern w:val="0"/>
          <w:sz w:val="13"/>
          <w:szCs w:val="13"/>
        </w:rPr>
        <w:t>399天</w:t>
      </w:r>
      <w:r>
        <w:rPr>
          <w:rFonts w:hint="eastAsia"/>
          <w:b/>
          <w:color w:val="3D3D3D"/>
          <w:kern w:val="0"/>
          <w:sz w:val="13"/>
          <w:szCs w:val="13"/>
        </w:rPr>
        <w:t>。</w:t>
      </w:r>
    </w:p>
    <w:p w:rsidR="002E4C64" w:rsidRDefault="003A0E44">
      <w:pPr>
        <w:pStyle w:val="annotationtext23"/>
        <w:spacing w:line="200" w:lineRule="exact"/>
        <w:rPr>
          <w:color w:val="3D3D3D"/>
          <w:kern w:val="0"/>
          <w:sz w:val="13"/>
          <w:szCs w:val="13"/>
        </w:rPr>
      </w:pPr>
      <w:r>
        <w:rPr>
          <w:rFonts w:hint="eastAsia"/>
          <w:b/>
          <w:bCs/>
          <w:color w:val="3D3D3D"/>
          <w:kern w:val="0"/>
          <w:sz w:val="13"/>
          <w:szCs w:val="13"/>
        </w:rPr>
        <w:t>本理财产品风险评级结果：</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p>
    <w:p w:rsidR="002E4C64" w:rsidRDefault="003A0E44">
      <w:pPr>
        <w:pStyle w:val="annotationtext23"/>
        <w:spacing w:line="200" w:lineRule="exact"/>
        <w:ind w:firstLineChars="200" w:firstLine="261"/>
        <w:rPr>
          <w:color w:val="3D3D3D"/>
          <w:kern w:val="0"/>
          <w:sz w:val="13"/>
          <w:szCs w:val="13"/>
        </w:rPr>
      </w:pPr>
      <w:r>
        <w:rPr>
          <w:rFonts w:hint="eastAsia"/>
          <w:b/>
          <w:bCs/>
          <w:color w:val="3D3D3D"/>
          <w:kern w:val="0"/>
          <w:sz w:val="13"/>
          <w:szCs w:val="13"/>
        </w:rPr>
        <w:t>本风险等级为南银理财风险评级结果，该产品通过代理销售机构渠道销售的，理财产品评级应当以代理销售机构最终披露的评级结果为准。</w:t>
      </w:r>
      <w:r>
        <w:rPr>
          <w:rFonts w:hint="eastAsia"/>
          <w:color w:val="3D3D3D"/>
          <w:kern w:val="0"/>
          <w:sz w:val="13"/>
          <w:szCs w:val="13"/>
        </w:rPr>
        <w:t>您需充分认识投资风险，谨慎投资。</w:t>
      </w:r>
    </w:p>
    <w:p w:rsidR="002E4C64" w:rsidRDefault="003A0E44">
      <w:pPr>
        <w:pStyle w:val="Normal89c68fc5"/>
        <w:widowControl/>
        <w:spacing w:line="200" w:lineRule="exact"/>
        <w:ind w:firstLineChars="200" w:firstLine="261"/>
        <w:rPr>
          <w:bCs/>
          <w:color w:val="3D3D3D"/>
          <w:kern w:val="0"/>
          <w:sz w:val="13"/>
          <w:szCs w:val="13"/>
        </w:rPr>
      </w:pPr>
      <w:r>
        <w:rPr>
          <w:rFonts w:hint="eastAsia"/>
          <w:b/>
          <w:bCs/>
          <w:color w:val="3D3D3D"/>
          <w:kern w:val="0"/>
          <w:sz w:val="13"/>
          <w:szCs w:val="13"/>
        </w:rPr>
        <w:t>适合购买本理财产品的投资者：</w:t>
      </w:r>
      <w:r>
        <w:rPr>
          <w:rFonts w:hint="eastAsia"/>
          <w:color w:val="3D3D3D"/>
          <w:kern w:val="0"/>
          <w:sz w:val="13"/>
          <w:szCs w:val="13"/>
        </w:rPr>
        <w:t>符合相关法律法规、监管规定要求的，经销售机构的风险承受能力评估体系评定为适合的个人和机构投资者。</w:t>
      </w:r>
    </w:p>
    <w:p w:rsidR="002E4C64" w:rsidRDefault="003A0E44">
      <w:pPr>
        <w:pStyle w:val="Normal89c68fc5"/>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rsidR="002E4C64" w:rsidRDefault="003A0E44">
      <w:pPr>
        <w:pStyle w:val="Normal89c68fc5"/>
        <w:widowControl/>
        <w:spacing w:line="200" w:lineRule="exact"/>
        <w:ind w:firstLine="260"/>
      </w:pPr>
      <w:r>
        <w:rPr>
          <w:rFonts w:hint="eastAsia"/>
          <w:b/>
          <w:bCs/>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rsidR="002E4C64" w:rsidRDefault="003A0E44">
      <w:pPr>
        <w:pStyle w:val="Normal89c68fc5"/>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rsidR="002E4C64" w:rsidRDefault="002E4C64">
      <w:pPr>
        <w:pStyle w:val="Normal89c68fc5"/>
        <w:widowControl/>
        <w:spacing w:line="200" w:lineRule="exact"/>
        <w:ind w:firstLine="260"/>
        <w:rPr>
          <w:b/>
          <w:color w:val="3D3D3D"/>
          <w:kern w:val="0"/>
          <w:sz w:val="13"/>
          <w:szCs w:val="13"/>
        </w:rPr>
      </w:pPr>
    </w:p>
    <w:p w:rsidR="002E4C64" w:rsidRDefault="003A0E44">
      <w:pPr>
        <w:pStyle w:val="Normal89c68fc5"/>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rsidR="002E4C64" w:rsidRDefault="002E4C64">
      <w:pPr>
        <w:pStyle w:val="Normal89c68fc5"/>
        <w:widowControl/>
        <w:spacing w:line="200" w:lineRule="exact"/>
        <w:ind w:firstLine="260"/>
        <w:jc w:val="center"/>
        <w:rPr>
          <w:b/>
          <w:color w:val="3D3D3D"/>
          <w:kern w:val="0"/>
          <w:sz w:val="15"/>
          <w:szCs w:val="15"/>
          <w:u w:val="single"/>
        </w:rPr>
      </w:pPr>
    </w:p>
    <w:p w:rsidR="002E4C64" w:rsidRDefault="003A0E44">
      <w:pPr>
        <w:pStyle w:val="Normal89c68fc5"/>
        <w:widowControl/>
        <w:spacing w:line="200" w:lineRule="exact"/>
        <w:ind w:firstLine="260"/>
        <w:jc w:val="left"/>
        <w:rPr>
          <w:b/>
          <w:color w:val="3D3D3D"/>
          <w:kern w:val="0"/>
          <w:sz w:val="15"/>
          <w:szCs w:val="15"/>
          <w:u w:val="single"/>
        </w:rPr>
      </w:pPr>
      <w:r>
        <w:rPr>
          <w:rFonts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2E4C64" w:rsidRDefault="003A0E44">
      <w:pPr>
        <w:widowControl/>
        <w:spacing w:line="200" w:lineRule="exact"/>
        <w:rPr>
          <w:b/>
          <w:color w:val="3D3D3D"/>
          <w:kern w:val="0"/>
          <w:sz w:val="15"/>
          <w:szCs w:val="15"/>
          <w:u w:val="single"/>
        </w:rPr>
      </w:pPr>
      <w:r>
        <w:rPr>
          <w:rFonts w:hint="eastAsia"/>
          <w:b/>
          <w:color w:val="3D3D3D"/>
          <w:kern w:val="0"/>
          <w:sz w:val="15"/>
          <w:szCs w:val="15"/>
          <w:u w:val="single"/>
        </w:rPr>
        <w:t>投资者声明：</w:t>
      </w:r>
    </w:p>
    <w:p w:rsidR="002E4C64" w:rsidRDefault="003A0E44">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r>
        <w:rPr>
          <w:rFonts w:hint="eastAsia"/>
          <w:b/>
          <w:color w:val="3D3D3D"/>
          <w:kern w:val="0"/>
          <w:sz w:val="15"/>
          <w:szCs w:val="15"/>
          <w:u w:val="single"/>
        </w:rPr>
        <w:t>确认南银理财</w:t>
      </w:r>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义务或责任以及有关免除或减轻南银理财责任或南银理财单方面拥有某些权利的条款已向本人予以说明，本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rsidR="002E4C64" w:rsidRDefault="003A0E44">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rsidR="002E4C64" w:rsidRDefault="003A0E44">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rsidR="002E4C64" w:rsidRDefault="003A0E44">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中低、中、中高、高）。如果影响本投资者风险承受能力的因素发生变化，本投资者将及时完成风险承受能力评估，否则由此产生的责任和风险由本投资者自行承担。（仅由个人投资者亲自填写）</w:t>
      </w:r>
    </w:p>
    <w:p w:rsidR="002E4C64" w:rsidRDefault="003A0E44">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rsidR="002E4C64" w:rsidRDefault="003A0E44">
      <w:pPr>
        <w:widowControl/>
        <w:spacing w:line="200" w:lineRule="exact"/>
        <w:ind w:firstLine="420"/>
        <w:rPr>
          <w:b/>
          <w:color w:val="3D3D3D"/>
          <w:kern w:val="0"/>
          <w:sz w:val="15"/>
          <w:szCs w:val="15"/>
          <w:u w:val="single"/>
        </w:rPr>
      </w:pPr>
      <w:r>
        <w:rPr>
          <w:rFonts w:hint="eastAsia"/>
          <w:b/>
          <w:color w:val="3D3D3D"/>
          <w:kern w:val="0"/>
          <w:sz w:val="15"/>
          <w:szCs w:val="15"/>
        </w:rPr>
        <w:lastRenderedPageBreak/>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rsidR="002E4C64" w:rsidRDefault="003A0E44">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如销售机构为管理人关联方的，本投资者认可此等关联方及关联交易情形的存在并自愿承担相关投资风险。</w:t>
      </w:r>
    </w:p>
    <w:p w:rsidR="002E4C64" w:rsidRDefault="003A0E44">
      <w:pPr>
        <w:widowControl/>
        <w:spacing w:line="200" w:lineRule="exact"/>
        <w:ind w:firstLine="420"/>
        <w:rPr>
          <w:color w:val="3D3D3D"/>
          <w:kern w:val="0"/>
          <w:sz w:val="15"/>
          <w:szCs w:val="15"/>
          <w:u w:val="single"/>
        </w:rPr>
      </w:pPr>
      <w:r>
        <w:rPr>
          <w:rFonts w:hint="eastAsia"/>
          <w:color w:val="3D3D3D"/>
          <w:kern w:val="0"/>
          <w:sz w:val="15"/>
          <w:szCs w:val="15"/>
        </w:rPr>
        <w:t>8.以下划线部分，请投资者抄录确认：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rsidR="002E4C64" w:rsidRDefault="003A0E44">
      <w:pPr>
        <w:widowControl/>
        <w:spacing w:line="200" w:lineRule="exact"/>
        <w:ind w:firstLine="210"/>
        <w:rPr>
          <w:color w:val="3D3D3D"/>
          <w:kern w:val="0"/>
          <w:sz w:val="15"/>
          <w:szCs w:val="15"/>
        </w:rPr>
      </w:pPr>
      <w:r>
        <w:rPr>
          <w:rFonts w:hint="eastAsia"/>
          <w:color w:val="3D3D3D"/>
          <w:kern w:val="0"/>
          <w:sz w:val="15"/>
          <w:szCs w:val="15"/>
        </w:rPr>
        <w:t xml:space="preserve">         </w:t>
      </w:r>
    </w:p>
    <w:p w:rsidR="002E4C64" w:rsidRDefault="002E4C64">
      <w:pPr>
        <w:widowControl/>
        <w:spacing w:line="200" w:lineRule="exact"/>
        <w:ind w:firstLine="210"/>
        <w:rPr>
          <w:color w:val="3D3D3D"/>
          <w:kern w:val="0"/>
          <w:sz w:val="15"/>
          <w:szCs w:val="15"/>
        </w:rPr>
      </w:pPr>
    </w:p>
    <w:p w:rsidR="002E4C64" w:rsidRDefault="003A0E44">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rsidR="002E4C64" w:rsidRDefault="002E4C64">
      <w:pPr>
        <w:widowControl/>
        <w:spacing w:line="200" w:lineRule="exact"/>
        <w:ind w:firstLine="210"/>
        <w:rPr>
          <w:color w:val="3D3D3D"/>
          <w:kern w:val="0"/>
          <w:sz w:val="13"/>
          <w:szCs w:val="13"/>
        </w:rPr>
      </w:pPr>
    </w:p>
    <w:p w:rsidR="002E4C64" w:rsidRDefault="002E4C64">
      <w:pPr>
        <w:widowControl/>
        <w:spacing w:line="200" w:lineRule="exact"/>
        <w:ind w:firstLine="210"/>
        <w:jc w:val="left"/>
        <w:rPr>
          <w:color w:val="3D3D3D"/>
          <w:kern w:val="0"/>
          <w:sz w:val="13"/>
          <w:szCs w:val="13"/>
        </w:rPr>
      </w:pPr>
    </w:p>
    <w:p w:rsidR="002E4C64" w:rsidRDefault="002E4C64">
      <w:pPr>
        <w:widowControl/>
        <w:spacing w:line="200" w:lineRule="exact"/>
        <w:ind w:firstLine="210"/>
        <w:jc w:val="left"/>
        <w:rPr>
          <w:color w:val="3D3D3D"/>
          <w:kern w:val="0"/>
          <w:sz w:val="13"/>
          <w:szCs w:val="13"/>
        </w:rPr>
      </w:pPr>
    </w:p>
    <w:tbl>
      <w:tblPr>
        <w:tblW w:w="0" w:type="auto"/>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000" w:firstRow="0" w:lastRow="0" w:firstColumn="0" w:lastColumn="0" w:noHBand="0" w:noVBand="0"/>
      </w:tblPr>
      <w:tblGrid>
        <w:gridCol w:w="9287"/>
      </w:tblGrid>
      <w:tr w:rsidR="002E4C64">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400" w:lineRule="exact"/>
              <w:jc w:val="center"/>
              <w:rPr>
                <w:b/>
                <w:sz w:val="15"/>
                <w:szCs w:val="15"/>
              </w:rPr>
            </w:pPr>
            <w:r>
              <w:rPr>
                <w:rFonts w:hint="eastAsia"/>
                <w:b/>
                <w:sz w:val="15"/>
                <w:szCs w:val="15"/>
              </w:rPr>
              <w:t>个人投资者</w:t>
            </w:r>
          </w:p>
        </w:tc>
      </w:tr>
      <w:tr w:rsidR="002E4C64">
        <w:tc>
          <w:tcPr>
            <w:tcW w:w="9287" w:type="dxa"/>
            <w:tcBorders>
              <w:top w:val="single" w:sz="4" w:space="0" w:color="auto"/>
              <w:left w:val="single" w:sz="4" w:space="0" w:color="auto"/>
              <w:bottom w:val="single" w:sz="4" w:space="0" w:color="auto"/>
              <w:right w:val="single" w:sz="4" w:space="0" w:color="auto"/>
              <w:tl2br w:val="nil"/>
              <w:tr2bl w:val="nil"/>
            </w:tcBorders>
          </w:tcPr>
          <w:p w:rsidR="002E4C64" w:rsidRDefault="003A0E44">
            <w:pPr>
              <w:widowControl/>
              <w:spacing w:line="360" w:lineRule="auto"/>
              <w:rPr>
                <w:color w:val="3D3D3D"/>
                <w:kern w:val="0"/>
                <w:sz w:val="13"/>
                <w:szCs w:val="13"/>
              </w:rPr>
            </w:pPr>
            <w:r>
              <w:rPr>
                <w:rFonts w:hint="eastAsia"/>
                <w:sz w:val="15"/>
                <w:szCs w:val="15"/>
              </w:rPr>
              <w:t>签名：</w:t>
            </w:r>
          </w:p>
          <w:p w:rsidR="002E4C64" w:rsidRDefault="003A0E44">
            <w:pPr>
              <w:widowControl/>
              <w:spacing w:line="360" w:lineRule="auto"/>
              <w:ind w:firstLineChars="100" w:firstLine="13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2E4C64">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400" w:lineRule="exact"/>
              <w:jc w:val="center"/>
              <w:rPr>
                <w:sz w:val="15"/>
                <w:szCs w:val="15"/>
              </w:rPr>
            </w:pPr>
            <w:r>
              <w:rPr>
                <w:rFonts w:hint="eastAsia"/>
                <w:b/>
                <w:bCs/>
                <w:color w:val="3D3D3D"/>
                <w:kern w:val="0"/>
                <w:sz w:val="15"/>
                <w:szCs w:val="15"/>
              </w:rPr>
              <w:t>机构投资者</w:t>
            </w:r>
          </w:p>
        </w:tc>
      </w:tr>
      <w:tr w:rsidR="002E4C64">
        <w:tc>
          <w:tcPr>
            <w:tcW w:w="9287" w:type="dxa"/>
            <w:tcBorders>
              <w:top w:val="single" w:sz="4" w:space="0" w:color="auto"/>
              <w:left w:val="single" w:sz="4" w:space="0" w:color="auto"/>
              <w:bottom w:val="single" w:sz="4" w:space="0" w:color="auto"/>
              <w:right w:val="single" w:sz="4" w:space="0" w:color="auto"/>
              <w:tl2br w:val="nil"/>
              <w:tr2bl w:val="nil"/>
            </w:tcBorders>
          </w:tcPr>
          <w:p w:rsidR="002E4C64" w:rsidRDefault="002E4C64">
            <w:pPr>
              <w:widowControl/>
              <w:spacing w:line="200" w:lineRule="exact"/>
              <w:jc w:val="left"/>
              <w:rPr>
                <w:b/>
                <w:bCs/>
                <w:color w:val="3D3D3D"/>
                <w:kern w:val="0"/>
                <w:sz w:val="15"/>
                <w:szCs w:val="15"/>
              </w:rPr>
            </w:pPr>
          </w:p>
          <w:p w:rsidR="002E4C64" w:rsidRDefault="003A0E44">
            <w:pPr>
              <w:widowControl/>
              <w:spacing w:line="200" w:lineRule="exact"/>
              <w:jc w:val="left"/>
              <w:rPr>
                <w:b/>
                <w:bCs/>
                <w:color w:val="3D3D3D"/>
                <w:kern w:val="0"/>
                <w:sz w:val="15"/>
                <w:szCs w:val="15"/>
              </w:rPr>
            </w:pPr>
            <w:r>
              <w:rPr>
                <w:rFonts w:hint="eastAsia"/>
                <w:b/>
                <w:bCs/>
                <w:color w:val="3D3D3D"/>
                <w:kern w:val="0"/>
                <w:sz w:val="15"/>
                <w:szCs w:val="15"/>
              </w:rPr>
              <w:t>盖章（公章）</w:t>
            </w:r>
          </w:p>
          <w:p w:rsidR="002E4C64" w:rsidRDefault="002E4C64">
            <w:pPr>
              <w:widowControl/>
              <w:spacing w:line="200" w:lineRule="exact"/>
              <w:jc w:val="left"/>
              <w:rPr>
                <w:b/>
                <w:bCs/>
                <w:color w:val="3D3D3D"/>
                <w:kern w:val="0"/>
                <w:sz w:val="15"/>
                <w:szCs w:val="15"/>
              </w:rPr>
            </w:pPr>
          </w:p>
          <w:p w:rsidR="002E4C64" w:rsidRDefault="003A0E44">
            <w:pPr>
              <w:widowControl/>
              <w:spacing w:line="200" w:lineRule="exact"/>
              <w:jc w:val="left"/>
              <w:rPr>
                <w:b/>
                <w:bCs/>
                <w:color w:val="3D3D3D"/>
                <w:kern w:val="0"/>
                <w:sz w:val="15"/>
                <w:szCs w:val="15"/>
              </w:rPr>
            </w:pPr>
            <w:r>
              <w:rPr>
                <w:rFonts w:hint="eastAsia"/>
                <w:b/>
                <w:bCs/>
                <w:color w:val="3D3D3D"/>
                <w:kern w:val="0"/>
                <w:sz w:val="15"/>
                <w:szCs w:val="15"/>
              </w:rPr>
              <w:t>法定代表人或授权代理人（签名或盖章）：</w:t>
            </w:r>
            <w:r>
              <w:rPr>
                <w:b/>
                <w:bCs/>
                <w:color w:val="3D3D3D"/>
                <w:kern w:val="0"/>
                <w:sz w:val="15"/>
                <w:szCs w:val="15"/>
              </w:rPr>
              <w:t xml:space="preserve"> </w:t>
            </w:r>
            <w:r>
              <w:rPr>
                <w:b/>
                <w:bCs/>
                <w:color w:val="3D3D3D"/>
                <w:kern w:val="0"/>
                <w:sz w:val="15"/>
                <w:szCs w:val="15"/>
              </w:rPr>
              <w:tab/>
            </w:r>
          </w:p>
          <w:p w:rsidR="002E4C64" w:rsidRDefault="002E4C64">
            <w:pPr>
              <w:widowControl/>
              <w:spacing w:line="200" w:lineRule="exact"/>
              <w:jc w:val="left"/>
              <w:rPr>
                <w:color w:val="3D3D3D"/>
                <w:kern w:val="0"/>
                <w:sz w:val="13"/>
                <w:szCs w:val="13"/>
              </w:rPr>
            </w:pPr>
          </w:p>
          <w:p w:rsidR="002E4C64" w:rsidRDefault="003A0E44">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2E4C64">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400" w:lineRule="exact"/>
              <w:jc w:val="center"/>
              <w:rPr>
                <w:sz w:val="15"/>
                <w:szCs w:val="15"/>
              </w:rPr>
            </w:pPr>
            <w:r>
              <w:rPr>
                <w:rFonts w:hint="eastAsia"/>
                <w:b/>
                <w:bCs/>
                <w:sz w:val="15"/>
                <w:szCs w:val="15"/>
              </w:rPr>
              <w:t>电子渠道</w:t>
            </w:r>
          </w:p>
        </w:tc>
      </w:tr>
      <w:tr w:rsidR="002E4C64">
        <w:tc>
          <w:tcPr>
            <w:tcW w:w="9287" w:type="dxa"/>
            <w:tcBorders>
              <w:top w:val="single" w:sz="4" w:space="0" w:color="auto"/>
              <w:left w:val="single" w:sz="4" w:space="0" w:color="auto"/>
              <w:bottom w:val="single" w:sz="4" w:space="0" w:color="auto"/>
              <w:right w:val="single" w:sz="4" w:space="0" w:color="auto"/>
              <w:tl2br w:val="nil"/>
              <w:tr2bl w:val="nil"/>
            </w:tcBorders>
          </w:tcPr>
          <w:p w:rsidR="002E4C64" w:rsidRDefault="003A0E44">
            <w:pPr>
              <w:widowControl/>
              <w:spacing w:line="200" w:lineRule="exact"/>
              <w:ind w:firstLineChars="200" w:firstLine="301"/>
              <w:rPr>
                <w:sz w:val="15"/>
                <w:szCs w:val="15"/>
              </w:rPr>
            </w:pPr>
            <w:r>
              <w:rPr>
                <w:rFonts w:hint="eastAsia"/>
                <w:b/>
                <w:color w:val="3D3D3D"/>
                <w:kern w:val="0"/>
                <w:sz w:val="15"/>
                <w:szCs w:val="15"/>
                <w:u w:val="single"/>
              </w:rPr>
              <w:t>如投资者通过电子渠道（包括但不限于网上银行、手机银行或官方网站等）购买本理财产品的，</w:t>
            </w:r>
            <w:r>
              <w:rPr>
                <w:rFonts w:hint="eastAsia"/>
                <w:spacing w:val="10"/>
                <w:sz w:val="15"/>
                <w:szCs w:val="15"/>
              </w:rPr>
              <w:t>本风险揭示书以数据电文形式订立，</w:t>
            </w:r>
            <w:r>
              <w:rPr>
                <w:rFonts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hint="eastAsia"/>
                <w:spacing w:val="10"/>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rsidR="002E4C64" w:rsidRDefault="002E4C64" w:rsidP="00AB6FE5"/>
    <w:sectPr w:rsidR="002E4C64">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67D7" w:rsidRDefault="003A0E44">
      <w:r>
        <w:separator/>
      </w:r>
    </w:p>
  </w:endnote>
  <w:endnote w:type="continuationSeparator" w:id="0">
    <w:p w:rsidR="00C267D7" w:rsidRDefault="003A0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charset w:val="86"/>
    <w:family w:val="auto"/>
    <w:pitch w:val="default"/>
    <w:sig w:usb0="00000001" w:usb1="080E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67D7" w:rsidRDefault="003A0E44">
      <w:r>
        <w:separator/>
      </w:r>
    </w:p>
  </w:footnote>
  <w:footnote w:type="continuationSeparator" w:id="0">
    <w:p w:rsidR="00C267D7" w:rsidRDefault="003A0E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C64" w:rsidRDefault="003A0E44">
    <w:pPr>
      <w:pStyle w:val="a3"/>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195C4C"/>
    <w:multiLevelType w:val="hybridMultilevel"/>
    <w:tmpl w:val="0E6A456E"/>
    <w:lvl w:ilvl="0" w:tplc="E1CCE81A">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AC3E4F68">
      <w:start w:val="1"/>
      <w:numFmt w:val="lowerLetter"/>
      <w:lvlText w:val="%2)"/>
      <w:lvlJc w:val="left"/>
      <w:pPr>
        <w:tabs>
          <w:tab w:val="num" w:pos="0"/>
        </w:tabs>
        <w:ind w:left="1141" w:hanging="420"/>
      </w:pPr>
      <w:rPr>
        <w:rFonts w:ascii="方正黑体_GBK" w:eastAsia="方正黑体_GBK" w:hAnsi="方正黑体_GBK" w:hint="default"/>
      </w:rPr>
    </w:lvl>
    <w:lvl w:ilvl="2" w:tplc="AE04849A">
      <w:start w:val="1"/>
      <w:numFmt w:val="decimal"/>
      <w:lvlText w:val="%3."/>
      <w:lvlJc w:val="right"/>
      <w:pPr>
        <w:tabs>
          <w:tab w:val="num" w:pos="0"/>
        </w:tabs>
        <w:ind w:left="1561" w:hanging="420"/>
      </w:pPr>
      <w:rPr>
        <w:rFonts w:ascii="方正黑体_GBK" w:eastAsia="方正黑体_GBK" w:hAnsi="方正黑体_GBK" w:hint="default"/>
      </w:rPr>
    </w:lvl>
    <w:lvl w:ilvl="3" w:tplc="9A1C9FC6">
      <w:start w:val="1"/>
      <w:numFmt w:val="decimal"/>
      <w:lvlText w:val="%4."/>
      <w:lvlJc w:val="left"/>
      <w:pPr>
        <w:tabs>
          <w:tab w:val="num" w:pos="0"/>
        </w:tabs>
        <w:ind w:left="1981" w:hanging="420"/>
      </w:pPr>
      <w:rPr>
        <w:rFonts w:ascii="方正黑体_GBK" w:eastAsia="方正黑体_GBK" w:hAnsi="方正黑体_GBK" w:hint="default"/>
      </w:rPr>
    </w:lvl>
    <w:lvl w:ilvl="4" w:tplc="F53CAFF6">
      <w:start w:val="1"/>
      <w:numFmt w:val="lowerLetter"/>
      <w:lvlText w:val="%5)"/>
      <w:lvlJc w:val="left"/>
      <w:pPr>
        <w:tabs>
          <w:tab w:val="num" w:pos="0"/>
        </w:tabs>
        <w:ind w:left="2401" w:hanging="420"/>
      </w:pPr>
      <w:rPr>
        <w:rFonts w:ascii="方正黑体_GBK" w:eastAsia="方正黑体_GBK" w:hAnsi="方正黑体_GBK" w:hint="default"/>
      </w:rPr>
    </w:lvl>
    <w:lvl w:ilvl="5" w:tplc="252A363C">
      <w:start w:val="1"/>
      <w:numFmt w:val="decimal"/>
      <w:lvlText w:val="%6."/>
      <w:lvlJc w:val="right"/>
      <w:pPr>
        <w:tabs>
          <w:tab w:val="num" w:pos="0"/>
        </w:tabs>
        <w:ind w:left="2821" w:hanging="420"/>
      </w:pPr>
      <w:rPr>
        <w:rFonts w:ascii="方正黑体_GBK" w:eastAsia="方正黑体_GBK" w:hAnsi="方正黑体_GBK" w:hint="default"/>
      </w:rPr>
    </w:lvl>
    <w:lvl w:ilvl="6" w:tplc="27D0A81C">
      <w:start w:val="1"/>
      <w:numFmt w:val="decimal"/>
      <w:lvlText w:val="%7."/>
      <w:lvlJc w:val="left"/>
      <w:pPr>
        <w:tabs>
          <w:tab w:val="num" w:pos="0"/>
        </w:tabs>
        <w:ind w:left="3241" w:hanging="420"/>
      </w:pPr>
      <w:rPr>
        <w:rFonts w:ascii="方正黑体_GBK" w:eastAsia="方正黑体_GBK" w:hAnsi="方正黑体_GBK" w:hint="default"/>
      </w:rPr>
    </w:lvl>
    <w:lvl w:ilvl="7" w:tplc="E16A4A4C">
      <w:start w:val="1"/>
      <w:numFmt w:val="lowerLetter"/>
      <w:lvlText w:val="%8)"/>
      <w:lvlJc w:val="left"/>
      <w:pPr>
        <w:tabs>
          <w:tab w:val="num" w:pos="0"/>
        </w:tabs>
        <w:ind w:left="3661" w:hanging="420"/>
      </w:pPr>
      <w:rPr>
        <w:rFonts w:ascii="方正黑体_GBK" w:eastAsia="方正黑体_GBK" w:hAnsi="方正黑体_GBK" w:hint="default"/>
      </w:rPr>
    </w:lvl>
    <w:lvl w:ilvl="8" w:tplc="D1EA7406">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1" w15:restartNumberingAfterBreak="0">
    <w:nsid w:val="424E7EFE"/>
    <w:multiLevelType w:val="multilevel"/>
    <w:tmpl w:val="764247D0"/>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482317A8"/>
    <w:multiLevelType w:val="hybridMultilevel"/>
    <w:tmpl w:val="65C25D42"/>
    <w:lvl w:ilvl="0" w:tplc="0540C450">
      <w:start w:val="1"/>
      <w:numFmt w:val="decimal"/>
      <w:lvlRestart w:val="0"/>
      <w:lvlText w:val="%1."/>
      <w:lvlJc w:val="left"/>
      <w:pPr>
        <w:tabs>
          <w:tab w:val="num" w:pos="0"/>
        </w:tabs>
        <w:ind w:left="660" w:hanging="360"/>
      </w:pPr>
      <w:rPr>
        <w:rFonts w:ascii="方正黑体_GBK" w:eastAsia="方正黑体_GBK" w:hAnsi="方正黑体_GBK" w:hint="default"/>
      </w:rPr>
    </w:lvl>
    <w:lvl w:ilvl="1" w:tplc="B448E234">
      <w:start w:val="1"/>
      <w:numFmt w:val="lowerLetter"/>
      <w:lvlText w:val="%2)"/>
      <w:lvlJc w:val="left"/>
      <w:pPr>
        <w:tabs>
          <w:tab w:val="num" w:pos="0"/>
        </w:tabs>
        <w:ind w:left="1140" w:hanging="420"/>
      </w:pPr>
      <w:rPr>
        <w:rFonts w:ascii="方正黑体_GBK" w:eastAsia="方正黑体_GBK" w:hAnsi="方正黑体_GBK" w:hint="default"/>
      </w:rPr>
    </w:lvl>
    <w:lvl w:ilvl="2" w:tplc="6D0E2170">
      <w:start w:val="1"/>
      <w:numFmt w:val="decimal"/>
      <w:lvlText w:val="%3."/>
      <w:lvlJc w:val="right"/>
      <w:pPr>
        <w:tabs>
          <w:tab w:val="num" w:pos="0"/>
        </w:tabs>
        <w:ind w:left="1560" w:hanging="420"/>
      </w:pPr>
      <w:rPr>
        <w:rFonts w:ascii="方正黑体_GBK" w:eastAsia="方正黑体_GBK" w:hAnsi="方正黑体_GBK" w:hint="default"/>
      </w:rPr>
    </w:lvl>
    <w:lvl w:ilvl="3" w:tplc="3CA0273C">
      <w:start w:val="1"/>
      <w:numFmt w:val="decimal"/>
      <w:lvlText w:val="%4."/>
      <w:lvlJc w:val="left"/>
      <w:pPr>
        <w:tabs>
          <w:tab w:val="num" w:pos="0"/>
        </w:tabs>
        <w:ind w:left="1980" w:hanging="420"/>
      </w:pPr>
      <w:rPr>
        <w:rFonts w:ascii="方正黑体_GBK" w:eastAsia="方正黑体_GBK" w:hAnsi="方正黑体_GBK" w:hint="default"/>
      </w:rPr>
    </w:lvl>
    <w:lvl w:ilvl="4" w:tplc="974CC0A6">
      <w:start w:val="1"/>
      <w:numFmt w:val="lowerLetter"/>
      <w:lvlText w:val="%5)"/>
      <w:lvlJc w:val="left"/>
      <w:pPr>
        <w:tabs>
          <w:tab w:val="num" w:pos="0"/>
        </w:tabs>
        <w:ind w:left="2400" w:hanging="420"/>
      </w:pPr>
      <w:rPr>
        <w:rFonts w:ascii="方正黑体_GBK" w:eastAsia="方正黑体_GBK" w:hAnsi="方正黑体_GBK" w:hint="default"/>
      </w:rPr>
    </w:lvl>
    <w:lvl w:ilvl="5" w:tplc="15443006">
      <w:start w:val="1"/>
      <w:numFmt w:val="decimal"/>
      <w:lvlText w:val="%6."/>
      <w:lvlJc w:val="right"/>
      <w:pPr>
        <w:tabs>
          <w:tab w:val="num" w:pos="0"/>
        </w:tabs>
        <w:ind w:left="2820" w:hanging="420"/>
      </w:pPr>
      <w:rPr>
        <w:rFonts w:ascii="方正黑体_GBK" w:eastAsia="方正黑体_GBK" w:hAnsi="方正黑体_GBK" w:hint="default"/>
      </w:rPr>
    </w:lvl>
    <w:lvl w:ilvl="6" w:tplc="D70ECA9A">
      <w:start w:val="1"/>
      <w:numFmt w:val="decimal"/>
      <w:lvlText w:val="%7."/>
      <w:lvlJc w:val="left"/>
      <w:pPr>
        <w:tabs>
          <w:tab w:val="num" w:pos="0"/>
        </w:tabs>
        <w:ind w:left="3240" w:hanging="420"/>
      </w:pPr>
      <w:rPr>
        <w:rFonts w:ascii="方正黑体_GBK" w:eastAsia="方正黑体_GBK" w:hAnsi="方正黑体_GBK" w:hint="default"/>
      </w:rPr>
    </w:lvl>
    <w:lvl w:ilvl="7" w:tplc="1124E18C">
      <w:start w:val="1"/>
      <w:numFmt w:val="lowerLetter"/>
      <w:lvlText w:val="%8)"/>
      <w:lvlJc w:val="left"/>
      <w:pPr>
        <w:tabs>
          <w:tab w:val="num" w:pos="0"/>
        </w:tabs>
        <w:ind w:left="3660" w:hanging="420"/>
      </w:pPr>
      <w:rPr>
        <w:rFonts w:ascii="方正黑体_GBK" w:eastAsia="方正黑体_GBK" w:hAnsi="方正黑体_GBK" w:hint="default"/>
      </w:rPr>
    </w:lvl>
    <w:lvl w:ilvl="8" w:tplc="6D84E87E">
      <w:start w:val="1"/>
      <w:numFmt w:val="decimal"/>
      <w:lvlText w:val="%9."/>
      <w:lvlJc w:val="right"/>
      <w:pPr>
        <w:tabs>
          <w:tab w:val="num" w:pos="0"/>
        </w:tabs>
        <w:ind w:left="4080" w:hanging="420"/>
      </w:pPr>
      <w:rPr>
        <w:rFonts w:ascii="方正黑体_GBK" w:eastAsia="方正黑体_GBK" w:hAnsi="方正黑体_GBK" w:hint="default"/>
      </w:rPr>
    </w:lvl>
  </w:abstractNum>
  <w:abstractNum w:abstractNumId="3" w15:restartNumberingAfterBreak="0">
    <w:nsid w:val="603A6524"/>
    <w:multiLevelType w:val="multilevel"/>
    <w:tmpl w:val="CFEADD40"/>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2E4C64"/>
    <w:rsid w:val="002E4C64"/>
    <w:rsid w:val="003A0E44"/>
    <w:rsid w:val="00AB6FE5"/>
    <w:rsid w:val="00C267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2CA6399-B6EA-428C-A734-9309A19D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89c68fc5">
    <w:name w:val="Normal89c68fc5"/>
    <w:pPr>
      <w:widowControl w:val="0"/>
      <w:jc w:val="both"/>
    </w:pPr>
    <w:rPr>
      <w:rFonts w:ascii="方正黑体_GBK" w:eastAsia="方正黑体_GBK" w:hAnsi="方正黑体_GBK" w:cs="Times New Roman"/>
      <w:szCs w:val="21"/>
    </w:rPr>
  </w:style>
  <w:style w:type="paragraph" w:customStyle="1" w:styleId="heading1dfb9fb0b">
    <w:name w:val="heading 1dfb9fb0b"/>
    <w:basedOn w:val="Normal89c68fc5"/>
    <w:next w:val="a"/>
    <w:pPr>
      <w:keepNext/>
      <w:keepLines/>
      <w:spacing w:before="340" w:after="330" w:line="578" w:lineRule="auto"/>
      <w:outlineLvl w:val="0"/>
    </w:pPr>
    <w:rPr>
      <w:b/>
      <w:bCs/>
      <w:kern w:val="44"/>
      <w:sz w:val="44"/>
    </w:rPr>
  </w:style>
  <w:style w:type="paragraph" w:customStyle="1" w:styleId="heading2e6b54925">
    <w:name w:val="heading 2e6b54925"/>
    <w:basedOn w:val="Normal89c68fc5"/>
    <w:next w:val="a"/>
    <w:pPr>
      <w:keepNext/>
      <w:keepLines/>
      <w:spacing w:before="260" w:after="260" w:line="415" w:lineRule="auto"/>
      <w:outlineLvl w:val="1"/>
    </w:pPr>
    <w:rPr>
      <w:b/>
      <w:sz w:val="32"/>
    </w:rPr>
  </w:style>
  <w:style w:type="paragraph" w:customStyle="1" w:styleId="heading3c92a6697">
    <w:name w:val="heading 3c92a6697"/>
    <w:basedOn w:val="Normal89c68fc5"/>
    <w:next w:val="a"/>
    <w:pPr>
      <w:keepNext/>
      <w:keepLines/>
      <w:spacing w:before="260" w:after="260" w:line="415" w:lineRule="auto"/>
      <w:outlineLvl w:val="2"/>
    </w:pPr>
    <w:rPr>
      <w:b/>
      <w:sz w:val="32"/>
    </w:rPr>
  </w:style>
  <w:style w:type="character" w:customStyle="1" w:styleId="DefaultParagraphFont54cf9d91">
    <w:name w:val="Default Paragraph Font54cf9d91"/>
  </w:style>
  <w:style w:type="paragraph" w:customStyle="1" w:styleId="toc12ac40491">
    <w:name w:val="toc 12ac40491"/>
    <w:basedOn w:val="Normal89c68fc5"/>
    <w:next w:val="a"/>
    <w:autoRedefine/>
  </w:style>
  <w:style w:type="paragraph" w:customStyle="1" w:styleId="toc201e4895d">
    <w:name w:val="toc 201e4895d"/>
    <w:basedOn w:val="Normal89c68fc5"/>
    <w:next w:val="a"/>
    <w:autoRedefine/>
    <w:pPr>
      <w:ind w:left="420"/>
    </w:pPr>
  </w:style>
  <w:style w:type="paragraph" w:customStyle="1" w:styleId="toc3b96bb529">
    <w:name w:val="toc 3b96bb529"/>
    <w:basedOn w:val="Normal89c68fc5"/>
    <w:next w:val="a"/>
    <w:autoRedefine/>
    <w:pPr>
      <w:ind w:left="840"/>
    </w:pPr>
  </w:style>
  <w:style w:type="paragraph" w:customStyle="1" w:styleId="toc475d52a0a">
    <w:name w:val="toc 475d52a0a"/>
    <w:basedOn w:val="Normal89c68fc5"/>
    <w:next w:val="a"/>
    <w:autoRedefine/>
    <w:pPr>
      <w:ind w:left="1260"/>
    </w:pPr>
  </w:style>
  <w:style w:type="paragraph" w:customStyle="1" w:styleId="toc5e0d83cbc">
    <w:name w:val="toc 5e0d83cbc"/>
    <w:basedOn w:val="Normal89c68fc5"/>
    <w:next w:val="a"/>
    <w:autoRedefine/>
    <w:pPr>
      <w:ind w:left="1680"/>
    </w:pPr>
  </w:style>
  <w:style w:type="paragraph" w:customStyle="1" w:styleId="header93d47f1d">
    <w:name w:val="header93d47f1d"/>
    <w:basedOn w:val="Normal89c68fc5"/>
    <w:pPr>
      <w:pBdr>
        <w:bottom w:val="single" w:sz="6" w:space="1" w:color="auto"/>
      </w:pBdr>
      <w:tabs>
        <w:tab w:val="center" w:pos="4153"/>
        <w:tab w:val="right" w:pos="8307"/>
      </w:tabs>
      <w:snapToGrid w:val="0"/>
      <w:jc w:val="center"/>
    </w:pPr>
    <w:rPr>
      <w:sz w:val="18"/>
    </w:rPr>
  </w:style>
  <w:style w:type="paragraph" w:customStyle="1" w:styleId="footer5eb71ba3">
    <w:name w:val="footer5eb71ba3"/>
    <w:basedOn w:val="Normal89c68fc5"/>
    <w:pPr>
      <w:tabs>
        <w:tab w:val="center" w:pos="4153"/>
        <w:tab w:val="right" w:pos="8307"/>
      </w:tabs>
      <w:snapToGrid w:val="0"/>
      <w:jc w:val="left"/>
    </w:pPr>
    <w:rPr>
      <w:sz w:val="18"/>
    </w:rPr>
  </w:style>
  <w:style w:type="character" w:customStyle="1" w:styleId="Strong7c3e09af">
    <w:name w:val="Strong7c3e09af"/>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1527d127">
    <w:name w:val="Normal1527d127"/>
    <w:next w:val="TOC1"/>
    <w:pPr>
      <w:widowControl w:val="0"/>
      <w:jc w:val="both"/>
    </w:pPr>
    <w:rPr>
      <w:rFonts w:ascii="方正黑体_GBK" w:eastAsia="方正黑体_GBK" w:hAnsi="方正黑体_GBK" w:cs="Times New Roman"/>
      <w:sz w:val="18"/>
      <w:szCs w:val="18"/>
    </w:rPr>
  </w:style>
  <w:style w:type="paragraph" w:customStyle="1" w:styleId="heading1c52f7a02">
    <w:name w:val="heading 1c52f7a02"/>
    <w:basedOn w:val="Normal1527d127"/>
    <w:next w:val="a"/>
    <w:pPr>
      <w:keepNext/>
      <w:keepLines/>
      <w:spacing w:before="340" w:after="330" w:line="578" w:lineRule="auto"/>
      <w:outlineLvl w:val="0"/>
    </w:pPr>
    <w:rPr>
      <w:b/>
      <w:bCs/>
      <w:kern w:val="44"/>
      <w:sz w:val="44"/>
    </w:rPr>
  </w:style>
  <w:style w:type="paragraph" w:customStyle="1" w:styleId="heading2c8de1381">
    <w:name w:val="heading 2c8de1381"/>
    <w:basedOn w:val="Normal1527d127"/>
    <w:next w:val="a"/>
    <w:pPr>
      <w:keepNext/>
      <w:keepLines/>
      <w:spacing w:before="260" w:after="260" w:line="415" w:lineRule="auto"/>
      <w:outlineLvl w:val="1"/>
    </w:pPr>
    <w:rPr>
      <w:b/>
      <w:sz w:val="32"/>
    </w:rPr>
  </w:style>
  <w:style w:type="paragraph" w:customStyle="1" w:styleId="heading32d923d7b">
    <w:name w:val="heading 32d923d7b"/>
    <w:basedOn w:val="Normal1527d127"/>
    <w:next w:val="a"/>
    <w:pPr>
      <w:keepNext/>
      <w:keepLines/>
      <w:spacing w:before="260" w:after="260" w:line="415" w:lineRule="auto"/>
      <w:outlineLvl w:val="2"/>
    </w:pPr>
    <w:rPr>
      <w:b/>
      <w:sz w:val="32"/>
    </w:rPr>
  </w:style>
  <w:style w:type="character" w:customStyle="1" w:styleId="DefaultParagraphFont3d38db1a">
    <w:name w:val="Default Paragraph Font3d38db1a"/>
  </w:style>
  <w:style w:type="paragraph" w:customStyle="1" w:styleId="NormalIndentbb745c29">
    <w:name w:val="Normal Indentbb745c29"/>
    <w:basedOn w:val="Normal1527d127"/>
    <w:pPr>
      <w:ind w:firstLineChars="200" w:firstLine="200"/>
    </w:pPr>
  </w:style>
  <w:style w:type="paragraph" w:customStyle="1" w:styleId="toc521cce2d5">
    <w:name w:val="toc 521cce2d5"/>
    <w:basedOn w:val="Normal1527d127"/>
    <w:next w:val="a"/>
    <w:pPr>
      <w:ind w:left="1680"/>
    </w:pPr>
  </w:style>
  <w:style w:type="paragraph" w:customStyle="1" w:styleId="toc3afa50c33">
    <w:name w:val="toc 3afa50c33"/>
    <w:basedOn w:val="Normal1527d127"/>
    <w:next w:val="a"/>
    <w:pPr>
      <w:ind w:left="840"/>
    </w:pPr>
  </w:style>
  <w:style w:type="paragraph" w:customStyle="1" w:styleId="footer0ec80f66">
    <w:name w:val="footer0ec80f66"/>
    <w:basedOn w:val="Normal1527d127"/>
    <w:pPr>
      <w:tabs>
        <w:tab w:val="center" w:pos="4153"/>
        <w:tab w:val="right" w:pos="8307"/>
      </w:tabs>
      <w:snapToGrid w:val="0"/>
      <w:jc w:val="left"/>
    </w:pPr>
  </w:style>
  <w:style w:type="paragraph" w:customStyle="1" w:styleId="headeradbc0a3d">
    <w:name w:val="headeradbc0a3d"/>
    <w:basedOn w:val="Normal1527d127"/>
    <w:pPr>
      <w:pBdr>
        <w:bottom w:val="single" w:sz="6" w:space="1" w:color="auto"/>
      </w:pBdr>
      <w:tabs>
        <w:tab w:val="center" w:pos="4153"/>
        <w:tab w:val="right" w:pos="8307"/>
      </w:tabs>
      <w:snapToGrid w:val="0"/>
      <w:jc w:val="center"/>
    </w:pPr>
  </w:style>
  <w:style w:type="paragraph" w:customStyle="1" w:styleId="toc180131baa">
    <w:name w:val="toc 180131baa"/>
    <w:basedOn w:val="Normal1527d127"/>
    <w:next w:val="a"/>
  </w:style>
  <w:style w:type="paragraph" w:customStyle="1" w:styleId="toc48f57be28">
    <w:name w:val="toc 48f57be28"/>
    <w:basedOn w:val="Normal1527d127"/>
    <w:next w:val="a"/>
    <w:pPr>
      <w:ind w:left="1260"/>
    </w:pPr>
  </w:style>
  <w:style w:type="paragraph" w:customStyle="1" w:styleId="toc23c735510">
    <w:name w:val="toc 23c735510"/>
    <w:basedOn w:val="Normal1527d127"/>
    <w:next w:val="a"/>
    <w:pPr>
      <w:ind w:left="420"/>
    </w:pPr>
  </w:style>
  <w:style w:type="paragraph" w:customStyle="1" w:styleId="NormalWeb28b8031c">
    <w:name w:val="Normal (Web)28b8031c"/>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546b23ef546b23ef">
    <w:name w:val="Normal546b23ef546b23ef"/>
    <w:next w:val="TOC1"/>
    <w:pPr>
      <w:widowControl w:val="0"/>
      <w:jc w:val="both"/>
    </w:pPr>
    <w:rPr>
      <w:rFonts w:ascii="方正黑体_GBK" w:eastAsia="方正黑体_GBK" w:hAnsi="方正黑体_GBK" w:cs="Times New Roman"/>
      <w:szCs w:val="21"/>
    </w:rPr>
  </w:style>
  <w:style w:type="paragraph" w:customStyle="1" w:styleId="heading1fda9cf28fda9cf28">
    <w:name w:val="heading 1fda9cf28fda9cf28"/>
    <w:basedOn w:val="Normal546b23ef546b23ef"/>
    <w:next w:val="a"/>
    <w:pPr>
      <w:keepNext/>
      <w:keepLines/>
      <w:spacing w:before="340" w:after="330" w:line="578" w:lineRule="auto"/>
      <w:outlineLvl w:val="0"/>
    </w:pPr>
    <w:rPr>
      <w:b/>
      <w:bCs/>
      <w:kern w:val="44"/>
      <w:sz w:val="44"/>
    </w:rPr>
  </w:style>
  <w:style w:type="paragraph" w:customStyle="1" w:styleId="heading2187eb988187eb988">
    <w:name w:val="heading 2187eb988187eb988"/>
    <w:basedOn w:val="Normal546b23ef546b23ef"/>
    <w:next w:val="a"/>
    <w:pPr>
      <w:keepNext/>
      <w:keepLines/>
      <w:spacing w:before="260" w:after="260" w:line="415" w:lineRule="auto"/>
      <w:outlineLvl w:val="1"/>
    </w:pPr>
    <w:rPr>
      <w:b/>
      <w:sz w:val="32"/>
    </w:rPr>
  </w:style>
  <w:style w:type="paragraph" w:customStyle="1" w:styleId="heading32ece32dc2ece32dc">
    <w:name w:val="heading 32ece32dc2ece32dc"/>
    <w:basedOn w:val="Normal546b23ef546b23ef"/>
    <w:next w:val="a"/>
    <w:pPr>
      <w:keepNext/>
      <w:keepLines/>
      <w:spacing w:before="260" w:after="260" w:line="415" w:lineRule="auto"/>
      <w:outlineLvl w:val="2"/>
    </w:pPr>
    <w:rPr>
      <w:b/>
      <w:sz w:val="32"/>
    </w:rPr>
  </w:style>
  <w:style w:type="character" w:customStyle="1" w:styleId="DefaultParagraphFont57e11e9c57e11e9c">
    <w:name w:val="Default Paragraph Font57e11e9c57e11e9c"/>
  </w:style>
  <w:style w:type="paragraph" w:customStyle="1" w:styleId="18155f2ee8155f2ee">
    <w:name w:val="引文目录18155f2ee8155f2ee"/>
    <w:basedOn w:val="Normal546b23ef546b23ef"/>
    <w:next w:val="a"/>
    <w:pPr>
      <w:ind w:leftChars="200" w:left="200"/>
    </w:pPr>
  </w:style>
  <w:style w:type="paragraph" w:customStyle="1" w:styleId="toc5b2406acfb2406acf">
    <w:name w:val="toc 5b2406acfb2406acf"/>
    <w:basedOn w:val="Normal546b23ef546b23ef"/>
    <w:next w:val="a"/>
    <w:pPr>
      <w:ind w:left="1680"/>
    </w:pPr>
  </w:style>
  <w:style w:type="paragraph" w:customStyle="1" w:styleId="toc3df24e425df24e425">
    <w:name w:val="toc 3df24e425df24e425"/>
    <w:basedOn w:val="Normal546b23ef546b23ef"/>
    <w:next w:val="a"/>
    <w:pPr>
      <w:ind w:left="840"/>
    </w:pPr>
  </w:style>
  <w:style w:type="paragraph" w:customStyle="1" w:styleId="footer372849f4372849f4">
    <w:name w:val="footer372849f4372849f4"/>
    <w:basedOn w:val="Normal546b23ef546b23ef"/>
    <w:pPr>
      <w:tabs>
        <w:tab w:val="center" w:pos="4153"/>
        <w:tab w:val="right" w:pos="8307"/>
      </w:tabs>
      <w:snapToGrid w:val="0"/>
      <w:jc w:val="left"/>
    </w:pPr>
    <w:rPr>
      <w:sz w:val="18"/>
    </w:rPr>
  </w:style>
  <w:style w:type="paragraph" w:customStyle="1" w:styleId="header4093fa2b4093fa2b">
    <w:name w:val="header4093fa2b4093fa2b"/>
    <w:basedOn w:val="Normal546b23ef546b23ef"/>
    <w:pPr>
      <w:pBdr>
        <w:bottom w:val="single" w:sz="6" w:space="1" w:color="auto"/>
      </w:pBdr>
      <w:tabs>
        <w:tab w:val="center" w:pos="4153"/>
        <w:tab w:val="right" w:pos="8307"/>
      </w:tabs>
      <w:snapToGrid w:val="0"/>
      <w:jc w:val="center"/>
    </w:pPr>
    <w:rPr>
      <w:sz w:val="18"/>
    </w:rPr>
  </w:style>
  <w:style w:type="paragraph" w:customStyle="1" w:styleId="toc19292c8c19292c8c1">
    <w:name w:val="toc 19292c8c19292c8c1"/>
    <w:basedOn w:val="Normal546b23ef546b23ef"/>
    <w:next w:val="a"/>
  </w:style>
  <w:style w:type="paragraph" w:customStyle="1" w:styleId="toc474a9b93174a9b931">
    <w:name w:val="toc 474a9b93174a9b931"/>
    <w:basedOn w:val="Normal546b23ef546b23ef"/>
    <w:next w:val="a"/>
    <w:pPr>
      <w:ind w:left="1260"/>
    </w:pPr>
  </w:style>
  <w:style w:type="paragraph" w:customStyle="1" w:styleId="toc27ab902c97ab902c9">
    <w:name w:val="toc 27ab902c97ab902c9"/>
    <w:basedOn w:val="Normal546b23ef546b23ef"/>
    <w:next w:val="a"/>
    <w:pPr>
      <w:ind w:left="420"/>
    </w:pPr>
  </w:style>
  <w:style w:type="paragraph" w:customStyle="1" w:styleId="14043c5544043c554">
    <w:name w:val="列出段落14043c5544043c554"/>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7232</Words>
  <Characters>7249</Characters>
  <Application>Microsoft Office Word</Application>
  <DocSecurity>0</DocSecurity>
  <Lines>166</Lines>
  <Paragraphs>65</Paragraphs>
  <ScaleCrop>false</ScaleCrop>
  <Company/>
  <LinksUpToDate>false</LinksUpToDate>
  <CharactersWithSpaces>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2026-01-16T07:09:00Z</dcterms:created>
  <dcterms:modified xsi:type="dcterms:W3CDTF">2026-01-16T07:09:00Z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