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幸福99丰裕固收386天25243期理财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386</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1C0DD2"/>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0BD129F"/>
    <w:rsid w:val="31124CF4"/>
    <w:rsid w:val="31A3269E"/>
    <w:rsid w:val="31D44412"/>
    <w:rsid w:val="322D08A3"/>
    <w:rsid w:val="32626F15"/>
    <w:rsid w:val="329E36D6"/>
    <w:rsid w:val="34105616"/>
    <w:rsid w:val="3486580A"/>
    <w:rsid w:val="34A35A92"/>
    <w:rsid w:val="34A453A9"/>
    <w:rsid w:val="34EC3C25"/>
    <w:rsid w:val="35182651"/>
    <w:rsid w:val="351A5D92"/>
    <w:rsid w:val="35AA025C"/>
    <w:rsid w:val="35CA7D73"/>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885401"/>
    <w:rsid w:val="60F34C3C"/>
    <w:rsid w:val="617668BD"/>
    <w:rsid w:val="61D01645"/>
    <w:rsid w:val="62F73A36"/>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D75755"/>
    <w:rsid w:val="7BFF1A29"/>
    <w:rsid w:val="7C044D89"/>
    <w:rsid w:val="7C63442B"/>
    <w:rsid w:val="7D3AA22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60</Pages>
  <Words>38980</Words>
  <Characters>42039</Characters>
  <Lines>1</Lines>
  <Paragraphs>1</Paragraphs>
  <TotalTime>3</TotalTime>
  <ScaleCrop>false</ScaleCrop>
  <LinksUpToDate>false</LinksUpToDate>
  <CharactersWithSpaces>42554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2026-01-15T01:56:55Z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4CB75CCDD71E9EABAD116669F3E21121_43</vt:lpwstr>
  </property>
</Properties>
</file>