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60" w:lineRule="auto"/>
        <w:rPr>
          <w:rFonts w:ascii="黑体" w:eastAsia="黑体"/>
          <w:sz w:val="24"/>
          <w:szCs w:val="24"/>
          <w:u w:val="single"/>
        </w:rPr>
      </w:pPr>
      <w:r>
        <w:rPr>
          <w:rFonts w:hint="eastAsia" w:ascii="黑体" w:eastAsia="黑体"/>
          <w:sz w:val="24"/>
          <w:szCs w:val="24"/>
          <w:u w:val="single"/>
        </w:rPr>
        <w:t>附件：客户权益须知专页</w:t>
      </w:r>
    </w:p>
    <w:p>
      <w:pPr>
        <w:spacing w:line="360" w:lineRule="auto"/>
        <w:jc w:val="center"/>
        <w:rPr>
          <w:rStyle w:val="9"/>
          <w:rFonts w:hint="eastAsia" w:ascii="黑体" w:hAnsi="黑体" w:eastAsia="黑体" w:cs="黑体"/>
          <w:sz w:val="24"/>
          <w:szCs w:val="24"/>
        </w:rPr>
      </w:pPr>
      <w:r>
        <w:rPr>
          <w:rFonts w:hint="eastAsia" w:ascii="黑体" w:hAnsi="黑体" w:eastAsia="黑体" w:cs="黑体"/>
          <w:color w:val="2F2F2F"/>
          <w:spacing w:val="1"/>
          <w:sz w:val="24"/>
          <w:szCs w:val="24"/>
        </w:rPr>
        <w:t>客户权益须知</w:t>
      </w:r>
    </w:p>
    <w:p>
      <w:pPr>
        <w:spacing w:line="360" w:lineRule="auto"/>
        <w:jc w:val="center"/>
        <w:rPr>
          <w:rStyle w:val="9"/>
        </w:rPr>
      </w:pP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尊敬的客户，您好：</w:t>
      </w:r>
    </w:p>
    <w:p>
      <w:pPr>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为便于您顺利办理理财业务，请仔细阅读以下客户权益内容，以选择适合的产品并维护自身权益。</w:t>
      </w:r>
    </w:p>
    <w:p>
      <w:pPr>
        <w:ind w:firstLine="420" w:firstLineChars="200"/>
        <w:rPr>
          <w:rFonts w:ascii="楷体_GB2312" w:eastAsia="楷体_GB2312"/>
          <w:bCs/>
          <w:color w:val="2F2F2F"/>
        </w:rPr>
      </w:pPr>
    </w:p>
    <w:p>
      <w:pPr>
        <w:ind w:firstLine="480" w:firstLineChars="200"/>
        <w:rPr>
          <w:rFonts w:ascii="黑体" w:eastAsia="黑体"/>
          <w:bCs/>
          <w:color w:val="2F2F2F"/>
        </w:rPr>
      </w:pPr>
      <w:r>
        <w:rPr>
          <w:rFonts w:hint="eastAsia" w:ascii="黑体" w:hAnsi="宋体" w:eastAsia="黑体" w:cs="宋体"/>
          <w:bCs/>
          <w:color w:val="2F2F2F"/>
          <w:kern w:val="0"/>
          <w:sz w:val="24"/>
        </w:rPr>
        <w:t>一、办理理财产品的流程</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 您可以通过信银理财营业场所、电子直销渠道等购买理财产品，其基本流程如</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下：</w:t>
      </w:r>
    </w:p>
    <w:p>
      <w:pPr>
        <w:rPr>
          <w:rFonts w:ascii="楷体_GB2312" w:eastAsia="楷体_GB2312"/>
          <w:bCs/>
          <w:color w:val="2F2F2F"/>
        </w:rPr>
      </w:pPr>
      <w:r>
        <w:rPr>
          <w:szCs w:val="21"/>
        </w:rPr>
        <w:drawing>
          <wp:inline distT="0" distB="0" distL="114300" distR="114300">
            <wp:extent cx="6263640" cy="518795"/>
            <wp:effectExtent l="0" t="0" r="3810" b="14605"/>
            <wp:docPr id="676712864" name="图片 676712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712864" name="图片 676712864"/>
                    <pic:cNvPicPr>
                      <a:picLocks noChangeAspect="1"/>
                    </pic:cNvPicPr>
                  </pic:nvPicPr>
                  <pic:blipFill>
                    <a:blip r:embed="rId6"/>
                    <a:stretch>
                      <a:fillRect/>
                    </a:stretch>
                  </pic:blipFill>
                  <pic:spPr>
                    <a:xfrm>
                      <a:off x="0" y="0"/>
                      <a:ext cx="6263640" cy="518795"/>
                    </a:xfrm>
                    <a:prstGeom prst="rect">
                      <a:avLst/>
                    </a:prstGeom>
                    <a:noFill/>
                    <a:ln>
                      <a:noFill/>
                    </a:ln>
                  </pic:spPr>
                </pic:pic>
              </a:graphicData>
            </a:graphic>
          </wp:inline>
        </w:drawing>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说明</w:t>
      </w:r>
      <w:bookmarkStart w:id="0" w:name="_GoBack"/>
      <w:bookmarkEnd w:id="0"/>
      <w:r>
        <w:rPr>
          <w:rFonts w:hint="eastAsia" w:ascii="楷体_GB2312" w:hAnsi="宋体" w:eastAsia="楷体_GB2312" w:cs="宋体"/>
          <w:bCs/>
          <w:color w:val="2F2F2F"/>
          <w:kern w:val="0"/>
          <w:sz w:val="24"/>
        </w:rPr>
        <w:t>：详细操作流程请见信银理财官方网站或通过客户服务热【950950】、营业场所、互联网网站【http://www.citic-wealth.com/】、电子邮件【暂无】咨询信银理财。</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特别提示：为防止您的权益受到侵害，在购买理财过程中请您务必保管好自己的银行卡/账户密码、网银 U盾等，切勿泄露或交给理财经理等任何其他人保管等，否则责任自负。</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以受信银理财委托进行产品销售的机构的办理流程为准。</w:t>
      </w:r>
    </w:p>
    <w:p>
      <w:pPr>
        <w:ind w:firstLine="480" w:firstLineChars="200"/>
        <w:rPr>
          <w:rFonts w:ascii="黑体" w:eastAsia="黑体"/>
          <w:bCs/>
          <w:color w:val="2F2F2F"/>
        </w:rPr>
      </w:pPr>
      <w:r>
        <w:rPr>
          <w:rFonts w:hint="eastAsia" w:ascii="黑体" w:hAnsi="宋体" w:eastAsia="黑体" w:cs="宋体"/>
          <w:bCs/>
          <w:color w:val="2F2F2F"/>
          <w:kern w:val="0"/>
          <w:sz w:val="24"/>
        </w:rPr>
        <w:t>二、信银理财客户风险测评及产品风险评级介绍</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在信银理财营业场所、电子直销渠道购买产品的客户风险测评使用《信银理财直销客户风险评估问卷》，通过回答客户财务状况、投资经验、投资风格、风险承受能力四大模块共12道问题，以得出风险测评结果。</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客户首次认购理财产品必须先进行风险测评，风险测评结果有效期为1年。如超过1年未再次进行风险测评或判断自身风险承受能力发生变化，应在我公司电子直销渠道 或营业场所重新进行风险测评。</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客户风险测评结果与产品风险评级的对应关系如下：</w:t>
      </w:r>
    </w:p>
    <w:tbl>
      <w:tblPr>
        <w:tblStyle w:val="7"/>
        <w:tblW w:w="4824" w:type="dxa"/>
        <w:jc w:val="center"/>
        <w:tblLayout w:type="autofit"/>
        <w:tblCellMar>
          <w:top w:w="0" w:type="dxa"/>
          <w:left w:w="108" w:type="dxa"/>
          <w:bottom w:w="0" w:type="dxa"/>
          <w:right w:w="108" w:type="dxa"/>
        </w:tblCellMar>
      </w:tblPr>
      <w:tblGrid>
        <w:gridCol w:w="2412"/>
        <w:gridCol w:w="2412"/>
      </w:tblGrid>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
                <w:bCs/>
                <w:color w:val="2F2F2F"/>
              </w:rPr>
            </w:pPr>
            <w:r>
              <w:rPr>
                <w:rFonts w:hint="eastAsia" w:ascii="楷体_GB2312" w:hAnsi="宋体" w:eastAsia="楷体_GB2312" w:cs="宋体"/>
                <w:b/>
                <w:bCs/>
                <w:color w:val="2F2F2F"/>
                <w:kern w:val="0"/>
                <w:sz w:val="24"/>
              </w:rPr>
              <w:t>产品风险等级</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
                <w:bCs/>
                <w:color w:val="2F2F2F"/>
              </w:rPr>
            </w:pPr>
            <w:r>
              <w:rPr>
                <w:rFonts w:hint="eastAsia" w:ascii="楷体_GB2312" w:hAnsi="宋体" w:eastAsia="楷体_GB2312" w:cs="宋体"/>
                <w:b/>
                <w:bCs/>
                <w:color w:val="2F2F2F"/>
                <w:kern w:val="0"/>
                <w:sz w:val="24"/>
              </w:rPr>
              <w:t>适合投资者</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PR1</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谨慎型及以上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PR2</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稳健型及以上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PR3</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平衡型及以上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PR4</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进取型及以上</w:t>
            </w:r>
          </w:p>
        </w:tc>
      </w:tr>
      <w:tr>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bCs/>
                <w:color w:val="2F2F2F"/>
              </w:rPr>
            </w:pPr>
            <w:r>
              <w:rPr>
                <w:rFonts w:ascii="楷体_GB2312" w:hAnsi="宋体" w:eastAsia="楷体_GB2312" w:cs="宋体"/>
                <w:bCs/>
                <w:color w:val="2F2F2F"/>
                <w:kern w:val="0"/>
                <w:sz w:val="24"/>
              </w:rPr>
              <w:t>PR5</w:t>
            </w:r>
          </w:p>
        </w:tc>
        <w:tc>
          <w:tcPr>
            <w:tcW w:w="2412" w:type="dxa"/>
            <w:tcBorders>
              <w:top w:val="single" w:color="auto" w:sz="4" w:space="0"/>
              <w:left w:val="nil"/>
              <w:bottom w:val="single" w:color="auto" w:sz="4" w:space="0"/>
              <w:right w:val="single" w:color="auto" w:sz="4" w:space="0"/>
            </w:tcBorders>
            <w:vAlign w:val="center"/>
          </w:tcPr>
          <w:p>
            <w:pPr>
              <w:jc w:val="center"/>
              <w:rPr>
                <w:rFonts w:ascii="楷体_GB2312" w:eastAsia="楷体_GB2312"/>
                <w:bCs/>
                <w:color w:val="2F2F2F"/>
              </w:rPr>
            </w:pPr>
            <w:r>
              <w:rPr>
                <w:rFonts w:hint="eastAsia" w:ascii="楷体_GB2312" w:hAnsi="宋体" w:eastAsia="楷体_GB2312" w:cs="宋体"/>
                <w:bCs/>
                <w:color w:val="2F2F2F"/>
                <w:kern w:val="0"/>
                <w:sz w:val="24"/>
              </w:rPr>
              <w:t>激进型及以上</w:t>
            </w:r>
          </w:p>
        </w:tc>
      </w:tr>
    </w:tbl>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pPr>
        <w:ind w:firstLine="482" w:firstLineChars="200"/>
        <w:rPr>
          <w:rFonts w:ascii="黑体" w:eastAsia="黑体"/>
          <w:b/>
          <w:bCs/>
          <w:color w:val="2F2F2F"/>
        </w:rPr>
      </w:pPr>
      <w:r>
        <w:rPr>
          <w:rFonts w:hint="eastAsia" w:ascii="楷体_GB2312" w:hAnsi="宋体" w:eastAsia="楷体_GB2312" w:cs="宋体"/>
          <w:b/>
          <w:bCs/>
          <w:color w:val="2F2F2F"/>
          <w:kern w:val="0"/>
          <w:sz w:val="24"/>
        </w:rPr>
        <w:t>以受信银理财委托进行产品销售的机构的风险测评结果、产品风险评级以及二者的对应关系为准</w:t>
      </w:r>
      <w:r>
        <w:rPr>
          <w:rFonts w:hint="eastAsia" w:ascii="黑体" w:hAnsi="宋体" w:eastAsia="黑体" w:cs="宋体"/>
          <w:b/>
          <w:bCs/>
          <w:color w:val="2F2F2F"/>
          <w:kern w:val="0"/>
          <w:sz w:val="24"/>
        </w:rPr>
        <w:t>。</w:t>
      </w:r>
    </w:p>
    <w:p>
      <w:pPr>
        <w:ind w:firstLine="480" w:firstLineChars="200"/>
        <w:rPr>
          <w:rFonts w:ascii="黑体" w:eastAsia="黑体"/>
          <w:bCs/>
          <w:color w:val="2F2F2F"/>
        </w:rPr>
      </w:pPr>
      <w:r>
        <w:rPr>
          <w:rFonts w:hint="eastAsia" w:ascii="黑体" w:hAnsi="宋体" w:eastAsia="黑体" w:cs="宋体"/>
          <w:bCs/>
          <w:color w:val="2F2F2F"/>
          <w:kern w:val="0"/>
          <w:sz w:val="24"/>
        </w:rPr>
        <w:t>三、理财信息披露</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将根据不同的产品类别，在相应的理财产品说明书中明确说明该产品信息披露的平台、渠道、发布时间、频率等。一般来讲，信银理财网站【http://www.citic-wealth.com/】是信银理财正式信息发布渠道，其他渠道如短信、电话等为辅助方式，投资者应定期通过包括信银理财网站在内的各信息平台和渠道获知有关理财产品相关信息。</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投资者通过受信银理财委托进行产品销售的机构（代销机构）购买理财产品的，还可按照代销机构公布的信息披露渠道和方式获取相关信息。</w:t>
      </w:r>
    </w:p>
    <w:p>
      <w:pPr>
        <w:ind w:firstLine="420" w:firstLineChars="200"/>
        <w:rPr>
          <w:rFonts w:ascii="楷体_GB2312" w:eastAsia="楷体_GB2312"/>
          <w:bCs/>
          <w:color w:val="2F2F2F"/>
        </w:rPr>
      </w:pPr>
    </w:p>
    <w:p>
      <w:pPr>
        <w:ind w:firstLine="480" w:firstLineChars="200"/>
        <w:rPr>
          <w:rFonts w:ascii="黑体" w:eastAsia="黑体"/>
          <w:bCs/>
          <w:color w:val="2F2F2F"/>
        </w:rPr>
      </w:pPr>
      <w:r>
        <w:rPr>
          <w:rFonts w:hint="eastAsia" w:ascii="黑体" w:hAnsi="宋体" w:eastAsia="黑体" w:cs="宋体"/>
          <w:bCs/>
          <w:color w:val="2F2F2F"/>
          <w:kern w:val="0"/>
          <w:sz w:val="24"/>
        </w:rPr>
        <w:t>四、客户咨询、</w:t>
      </w:r>
      <w:r>
        <w:rPr>
          <w:rFonts w:ascii="黑体" w:hAnsi="宋体" w:eastAsia="黑体" w:cs="宋体"/>
          <w:bCs/>
          <w:color w:val="2F2F2F"/>
          <w:kern w:val="0"/>
          <w:sz w:val="24"/>
        </w:rPr>
        <w:t>投诉</w:t>
      </w:r>
      <w:r>
        <w:rPr>
          <w:rFonts w:hint="eastAsia" w:ascii="黑体" w:hAnsi="宋体" w:eastAsia="黑体" w:cs="宋体"/>
          <w:bCs/>
          <w:color w:val="2F2F2F"/>
          <w:kern w:val="0"/>
          <w:sz w:val="24"/>
        </w:rPr>
        <w:t>渠道及信银理财联系方式</w:t>
      </w:r>
    </w:p>
    <w:p>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个人理财业务客户投诉渠道包括但不限于：客户服务热线【950950】、营业场所、互联网网站【http://www.citic-wealth.com/】、电子邮件【暂无】、意见簿、意见箱、信函、传真等。信银理财将安排专人及时收集个人理财业务客户投诉，并在收到客户投诉的第一时间内与客户取得联系，及时处理并进行反馈。</w:t>
      </w:r>
    </w:p>
    <w:p>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投资者通过受信银理财委托进行产品销售的机构（代销机构）购买理财产品的，还可按照代销机构公布的投诉渠道和方式进行投诉。</w:t>
      </w:r>
    </w:p>
    <w:p>
      <w:pPr>
        <w:widowControl/>
        <w:ind w:firstLine="420" w:firstLineChars="200"/>
        <w:jc w:val="left"/>
      </w:pPr>
    </w:p>
    <w:p/>
    <w:p>
      <w:pPr>
        <w:widowControl/>
        <w:ind w:firstLine="420" w:firstLineChars="200"/>
        <w:jc w:val="left"/>
      </w:pPr>
    </w:p>
    <w:sectPr>
      <w:headerReference r:id="rId3" w:type="default"/>
      <w:footerReference r:id="rId4" w:type="default"/>
      <w:pgSz w:w="11906" w:h="16838"/>
      <w:pgMar w:top="964" w:right="1021" w:bottom="964" w:left="102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18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ascii="楷体_GB2312" w:eastAsia="楷体_GB2312"/>
      </w:rPr>
      <w:t xml:space="preserve">                                              </w:t>
    </w:r>
    <w:r>
      <w:rPr>
        <w:rFonts w:hint="eastAsia" w:ascii="黑体" w:eastAsia="黑体"/>
        <w:b/>
        <w:sz w:val="24"/>
        <w:szCs w:val="24"/>
      </w:rPr>
      <w:t>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BD4"/>
    <w:rsid w:val="0001351F"/>
    <w:rsid w:val="00020C49"/>
    <w:rsid w:val="00095ADD"/>
    <w:rsid w:val="00116134"/>
    <w:rsid w:val="00142284"/>
    <w:rsid w:val="002701FE"/>
    <w:rsid w:val="00273EDD"/>
    <w:rsid w:val="00324F26"/>
    <w:rsid w:val="00387383"/>
    <w:rsid w:val="00431D26"/>
    <w:rsid w:val="0048291B"/>
    <w:rsid w:val="004C3A43"/>
    <w:rsid w:val="004F5C4C"/>
    <w:rsid w:val="004F7898"/>
    <w:rsid w:val="00595F77"/>
    <w:rsid w:val="005D009B"/>
    <w:rsid w:val="006D0F21"/>
    <w:rsid w:val="00791D1B"/>
    <w:rsid w:val="007E4308"/>
    <w:rsid w:val="007F2437"/>
    <w:rsid w:val="008227DB"/>
    <w:rsid w:val="0088047E"/>
    <w:rsid w:val="00890364"/>
    <w:rsid w:val="008A4BEA"/>
    <w:rsid w:val="008A6686"/>
    <w:rsid w:val="008B49A0"/>
    <w:rsid w:val="009A4B78"/>
    <w:rsid w:val="009B16D5"/>
    <w:rsid w:val="00B35760"/>
    <w:rsid w:val="00BE22FE"/>
    <w:rsid w:val="00C014E6"/>
    <w:rsid w:val="00C25951"/>
    <w:rsid w:val="00CA11D5"/>
    <w:rsid w:val="00CC04E4"/>
    <w:rsid w:val="00CE1B73"/>
    <w:rsid w:val="00CE23FB"/>
    <w:rsid w:val="00DD3BE4"/>
    <w:rsid w:val="00EC62F1"/>
    <w:rsid w:val="00ED2029"/>
    <w:rsid w:val="00ED6BE3"/>
    <w:rsid w:val="00EE5667"/>
    <w:rsid w:val="00F574A7"/>
    <w:rsid w:val="00FB01F3"/>
    <w:rsid w:val="00FC5EE9"/>
    <w:rsid w:val="00FF4BD4"/>
    <w:rsid w:val="187B4B38"/>
    <w:rsid w:val="2ECC4AEA"/>
    <w:rsid w:val="617E77D6"/>
    <w:rsid w:val="63E45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spacing w:after="160" w:line="259" w:lineRule="auto"/>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pPr>
      <w:spacing w:after="0" w:line="240" w:lineRule="auto"/>
    </w:pPr>
    <w:rPr>
      <w:b/>
      <w:bCs/>
    </w:rPr>
  </w:style>
  <w:style w:type="character" w:styleId="9">
    <w:name w:val="annotation reference"/>
    <w:basedOn w:val="8"/>
    <w:semiHidden/>
    <w:unhideWhenUsed/>
    <w:qFormat/>
    <w:uiPriority w:val="0"/>
    <w:rPr>
      <w:sz w:val="21"/>
      <w:szCs w:val="21"/>
    </w:rPr>
  </w:style>
  <w:style w:type="character" w:customStyle="1" w:styleId="10">
    <w:name w:val="页眉 Char"/>
    <w:basedOn w:val="8"/>
    <w:link w:val="5"/>
    <w:qFormat/>
    <w:uiPriority w:val="99"/>
    <w:rPr>
      <w:rFonts w:ascii="Times New Roman" w:hAnsi="Times New Roman" w:eastAsia="宋体" w:cs="Times New Roman"/>
      <w:sz w:val="18"/>
      <w:szCs w:val="18"/>
    </w:rPr>
  </w:style>
  <w:style w:type="character" w:customStyle="1" w:styleId="11">
    <w:name w:val="页脚 Char"/>
    <w:basedOn w:val="8"/>
    <w:link w:val="4"/>
    <w:qFormat/>
    <w:uiPriority w:val="0"/>
    <w:rPr>
      <w:rFonts w:ascii="Times New Roman" w:hAnsi="Times New Roman" w:eastAsia="宋体" w:cs="Times New Roman"/>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0"/>
    </w:rPr>
  </w:style>
  <w:style w:type="character" w:customStyle="1" w:styleId="13">
    <w:name w:val="批注框文本 Char"/>
    <w:basedOn w:val="8"/>
    <w:link w:val="3"/>
    <w:semiHidden/>
    <w:qFormat/>
    <w:uiPriority w:val="99"/>
    <w:rPr>
      <w:rFonts w:ascii="Times New Roman" w:hAnsi="Times New Roman" w:eastAsia="宋体" w:cs="Times New Roman"/>
      <w:sz w:val="18"/>
      <w:szCs w:val="18"/>
    </w:rPr>
  </w:style>
  <w:style w:type="character" w:customStyle="1" w:styleId="14">
    <w:name w:val="批注主题 Char"/>
    <w:basedOn w:val="12"/>
    <w:link w:val="6"/>
    <w:semiHidden/>
    <w:qFormat/>
    <w:uiPriority w:val="99"/>
    <w:rPr>
      <w:rFonts w:ascii="Times New Roman" w:hAnsi="Times New Roman" w:eastAsia="宋体" w:cs="Times New Roman"/>
      <w:b/>
      <w:bCs/>
      <w:szCs w:val="20"/>
    </w:rPr>
  </w:style>
  <w:style w:type="paragraph" w:styleId="15">
    <w:name w:val="List Paragraph"/>
    <w:basedOn w:val="1"/>
    <w:qFormat/>
    <w:uiPriority w:val="99"/>
    <w:pPr>
      <w:spacing w:after="160" w:line="259" w:lineRule="auto"/>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245</Words>
  <Characters>1403</Characters>
  <Lines>11</Lines>
  <Paragraphs>3</Paragraphs>
  <TotalTime>1</TotalTime>
  <ScaleCrop>false</ScaleCrop>
  <LinksUpToDate>false</LinksUpToDate>
  <CharactersWithSpaces>1645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2020-07-07T11:46:00Z</dcterms:created>
  <dc:creator>吴迪</dc:creator>
  <cp:lastModifiedBy>刘哲铭</cp:lastModifiedBy>
  <dcterms:modified xsi:type="dcterms:W3CDTF">2025-11-14T02:29:39Z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F41D33F307A34C8588FBD10905823058</vt:lpwstr>
  </property>
</Properties>
</file>