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A94D86">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14:paraId="52DE90FC">
      <w:pPr>
        <w:spacing w:line="300" w:lineRule="exact"/>
        <w:ind w:firstLine="480"/>
        <w:rPr>
          <w:rFonts w:ascii="Times New Roman" w:hAnsi="Times New Roman" w:eastAsia="楷体_GB2312" w:cs="Times New Roman"/>
          <w:sz w:val="20"/>
          <w:szCs w:val="20"/>
        </w:rPr>
      </w:pPr>
    </w:p>
    <w:p w14:paraId="79341D91">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6A0D581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123DE341">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   </w:t>
      </w:r>
    </w:p>
    <w:p w14:paraId="0604992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48B1197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3083C71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4EDAF4D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0D5BB81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00AD07E1">
      <w:pPr>
        <w:spacing w:line="300" w:lineRule="exact"/>
        <w:rPr>
          <w:rFonts w:ascii="Times New Roman" w:hAnsi="Times New Roman" w:eastAsia="楷体_GB2312" w:cs="Times New Roman"/>
          <w:sz w:val="20"/>
          <w:szCs w:val="20"/>
        </w:rPr>
      </w:pPr>
    </w:p>
    <w:p w14:paraId="3443342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3786D10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固定收益类</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6"/>
        <w:gridCol w:w="1749"/>
      </w:tblGrid>
      <w:tr w14:paraId="27F6A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1FBCB2A0">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6AB5185B">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554C5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62E33C8">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78317B48">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247B2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F42DB17">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6AD097A7">
            <w:pPr>
              <w:ind w:right="29" w:rightChars="12"/>
              <w:jc w:val="center"/>
              <w:rPr>
                <w:rFonts w:ascii="楷体" w:hAnsi="楷体" w:eastAsia="楷体"/>
                <w:color w:val="000000"/>
                <w:sz w:val="20"/>
                <w:szCs w:val="20"/>
              </w:rPr>
            </w:pPr>
            <w:r>
              <w:rPr>
                <w:rFonts w:hint="eastAsia" w:ascii="楷体" w:hAnsi="楷体" w:eastAsia="楷体"/>
                <w:sz w:val="20"/>
                <w:szCs w:val="20"/>
              </w:rPr>
              <w:t>【0%-49%</w:t>
            </w:r>
            <w:r>
              <w:rPr>
                <w:rFonts w:ascii="楷体" w:hAnsi="楷体" w:eastAsia="楷体"/>
                <w:sz w:val="20"/>
                <w:szCs w:val="20"/>
              </w:rPr>
              <w:t>】</w:t>
            </w:r>
          </w:p>
        </w:tc>
      </w:tr>
      <w:tr w14:paraId="2EBA9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5F654DE4">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586ECE09">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70367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C2B6D1B">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6180547C">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06005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73B0FB7">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6802913A">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12BA1F3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5C815F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4F1920C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0907430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F376657">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407FB6C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C5D2FF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7DED56E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080C1D6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42FEA17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08F8364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13D746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71AD651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AEAD8EA">
      <w:pPr>
        <w:spacing w:line="300" w:lineRule="exact"/>
        <w:ind w:firstLine="480"/>
        <w:rPr>
          <w:rFonts w:ascii="Times New Roman" w:hAnsi="Times New Roman" w:eastAsia="楷体_GB2312" w:cs="Times New Roman"/>
          <w:b/>
          <w:bCs/>
          <w:sz w:val="20"/>
          <w:szCs w:val="20"/>
        </w:rPr>
      </w:pPr>
    </w:p>
    <w:p w14:paraId="0C298D9E">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5693168F">
      <w:pPr>
        <w:spacing w:line="300" w:lineRule="exact"/>
        <w:ind w:firstLine="480"/>
        <w:rPr>
          <w:rFonts w:ascii="Times New Roman" w:hAnsi="Times New Roman" w:eastAsia="楷体_GB2312" w:cs="Times New Roman"/>
          <w:b/>
          <w:bCs/>
          <w:sz w:val="20"/>
          <w:szCs w:val="20"/>
        </w:rPr>
      </w:pPr>
    </w:p>
    <w:p w14:paraId="3B31B268">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26F1CF61">
      <w:pPr>
        <w:spacing w:line="300" w:lineRule="exact"/>
        <w:ind w:firstLine="482"/>
        <w:rPr>
          <w:rFonts w:ascii="Times New Roman" w:hAnsi="Times New Roman" w:eastAsia="楷体_GB2312" w:cs="Times New Roman"/>
          <w:b/>
          <w:bCs/>
          <w:sz w:val="20"/>
          <w:szCs w:val="20"/>
        </w:rPr>
      </w:pPr>
    </w:p>
    <w:p w14:paraId="71C5DAF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3B4EE99C">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35EA177C">
      <w:pPr>
        <w:spacing w:line="300" w:lineRule="exact"/>
        <w:ind w:firstLine="482"/>
        <w:rPr>
          <w:rFonts w:ascii="Times New Roman" w:hAnsi="Times New Roman" w:eastAsia="楷体_GB2312" w:cs="Times New Roman"/>
          <w:bCs/>
          <w:sz w:val="20"/>
          <w:szCs w:val="20"/>
        </w:rPr>
      </w:pPr>
    </w:p>
    <w:p w14:paraId="06E12BFF">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435D2F9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709C85D7">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61532FE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19579FD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2F98994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2EE48D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0AFEFD6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36BF6B7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050F42A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5D2B2B2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192B08AA">
      <w:pPr>
        <w:spacing w:line="300" w:lineRule="exact"/>
        <w:ind w:firstLine="482"/>
        <w:rPr>
          <w:rFonts w:ascii="Times New Roman" w:hAnsi="Times New Roman" w:eastAsia="楷体_GB2312" w:cs="Times New Roman"/>
          <w:sz w:val="20"/>
          <w:szCs w:val="20"/>
        </w:rPr>
      </w:pPr>
    </w:p>
    <w:p w14:paraId="7E5686B6">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FB71CE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44FA8E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1234881D">
      <w:pPr>
        <w:spacing w:line="300" w:lineRule="exact"/>
        <w:ind w:firstLine="482"/>
        <w:rPr>
          <w:rFonts w:ascii="Times New Roman" w:hAnsi="Times New Roman" w:eastAsia="楷体_GB2312" w:cs="Times New Roman"/>
          <w:sz w:val="20"/>
          <w:szCs w:val="20"/>
        </w:rPr>
      </w:pPr>
    </w:p>
    <w:p w14:paraId="4E72B39F">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7C2AF3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398A78FB">
      <w:pPr>
        <w:spacing w:line="300" w:lineRule="exact"/>
        <w:ind w:firstLine="482"/>
        <w:rPr>
          <w:rFonts w:ascii="Times New Roman" w:hAnsi="Times New Roman" w:eastAsia="楷体_GB2312" w:cs="Times New Roman"/>
          <w:b/>
          <w:bCs/>
          <w:sz w:val="20"/>
          <w:szCs w:val="20"/>
        </w:rPr>
      </w:pPr>
    </w:p>
    <w:p w14:paraId="03BB3CB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72B32606">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38271711">
      <w:pPr>
        <w:spacing w:line="300" w:lineRule="exact"/>
        <w:ind w:firstLine="482"/>
        <w:rPr>
          <w:rFonts w:ascii="Times New Roman" w:hAnsi="Times New Roman" w:eastAsia="楷体_GB2312" w:cs="Times New Roman"/>
          <w:b/>
          <w:bCs/>
          <w:sz w:val="20"/>
          <w:szCs w:val="20"/>
        </w:rPr>
      </w:pPr>
    </w:p>
    <w:p w14:paraId="44611FE9">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483B028B">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6D9FFD05">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E7B647">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66D3F2FE">
      <w:pPr>
        <w:spacing w:line="300" w:lineRule="exact"/>
        <w:ind w:firstLine="482"/>
        <w:rPr>
          <w:rFonts w:ascii="Times New Roman" w:hAnsi="Times New Roman" w:eastAsia="楷体_GB2312" w:cs="Times New Roman"/>
          <w:b/>
          <w:bCs/>
          <w:sz w:val="20"/>
          <w:szCs w:val="20"/>
        </w:rPr>
      </w:pPr>
    </w:p>
    <w:p w14:paraId="33DC896E">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43D5C269">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4F35098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487B8F4D">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49DF8E20">
      <w:pPr>
        <w:spacing w:line="300" w:lineRule="exact"/>
        <w:rPr>
          <w:rFonts w:ascii="Times New Roman" w:hAnsi="Times New Roman" w:eastAsia="楷体_GB2312" w:cs="Times New Roman"/>
          <w:sz w:val="20"/>
          <w:szCs w:val="20"/>
        </w:rPr>
      </w:pPr>
    </w:p>
    <w:p w14:paraId="382E40CA">
      <w:pPr>
        <w:spacing w:line="300" w:lineRule="exact"/>
        <w:rPr>
          <w:rFonts w:ascii="Times New Roman" w:hAnsi="Times New Roman" w:eastAsia="楷体_GB2312" w:cs="Times New Roman"/>
          <w:sz w:val="20"/>
          <w:szCs w:val="20"/>
        </w:rPr>
      </w:pPr>
    </w:p>
    <w:p w14:paraId="684DC015">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75E89A50">
      <w:pPr>
        <w:spacing w:line="300" w:lineRule="exact"/>
        <w:ind w:firstLine="600" w:firstLineChars="300"/>
        <w:rPr>
          <w:rFonts w:ascii="Times New Roman" w:hAnsi="Times New Roman" w:eastAsia="楷体_GB2312" w:cs="Times New Roman"/>
          <w:sz w:val="20"/>
          <w:szCs w:val="20"/>
        </w:rPr>
      </w:pPr>
    </w:p>
    <w:p w14:paraId="4799ED60">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285D196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6742F1FA">
      <w:pPr>
        <w:spacing w:line="300" w:lineRule="exact"/>
        <w:ind w:firstLine="600" w:firstLineChars="300"/>
        <w:rPr>
          <w:rFonts w:ascii="Times New Roman" w:hAnsi="Times New Roman" w:eastAsia="楷体_GB2312" w:cs="Times New Roman"/>
          <w:sz w:val="20"/>
          <w:szCs w:val="20"/>
        </w:rPr>
      </w:pPr>
    </w:p>
    <w:p w14:paraId="4912DB0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06AC3C35">
      <w:pPr>
        <w:spacing w:line="300" w:lineRule="exact"/>
        <w:ind w:firstLine="600" w:firstLineChars="300"/>
        <w:rPr>
          <w:rFonts w:ascii="Times New Roman" w:hAnsi="Times New Roman" w:eastAsia="楷体_GB2312" w:cs="Times New Roman"/>
          <w:sz w:val="20"/>
          <w:szCs w:val="20"/>
        </w:rPr>
      </w:pPr>
    </w:p>
    <w:p w14:paraId="3FAF2438">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41E11E77">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797" w:bottom="1440" w:left="1797" w:header="851" w:footer="992" w:gutter="0"/>
          <w:pgNumType w:start="1"/>
          <w:cols w:space="720" w:num="1"/>
          <w:docGrid w:linePitch="326" w:charSpace="0"/>
        </w:sectPr>
      </w:pPr>
      <w:r>
        <w:rPr>
          <w:rFonts w:ascii="Times New Roman" w:hAnsi="Times New Roman" w:eastAsia="楷体_GB2312" w:cs="Times New Roman"/>
          <w:sz w:val="20"/>
          <w:szCs w:val="20"/>
        </w:rPr>
        <w:t xml:space="preserve">             </w:t>
      </w:r>
    </w:p>
    <w:p w14:paraId="547FBD6A">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Hlk142658372"/>
      <w:r>
        <w:rPr>
          <w:rFonts w:hint="eastAsia" w:ascii="黑体" w:hAnsi="楷体_GB2312" w:eastAsia="黑体" w:cs="黑体"/>
          <w:b/>
          <w:bCs/>
          <w:color w:val="000000" w:themeColor="text1"/>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520BC4F8">
      <w:pPr>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2828AEF3">
      <w:pPr>
        <w:ind w:firstLine="482" w:firstLineChars="200"/>
        <w:jc w:val="both"/>
        <w:rPr>
          <w:b/>
          <w:color w:val="000000" w:themeColor="text1"/>
          <w14:textFill>
            <w14:solidFill>
              <w14:schemeClr w14:val="tx1"/>
            </w14:solidFill>
          </w14:textFill>
        </w:rPr>
      </w:pPr>
      <w:r>
        <w:rPr>
          <w:rFonts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w:t>
      </w:r>
      <w:r>
        <w:rPr>
          <w:rFonts w:hint="eastAsia" w:ascii="楷体_GB2312" w:hAnsi="Arial" w:eastAsia="楷体_GB2312" w:cs="楷体_GB2312"/>
          <w:b/>
          <w:color w:val="000000" w:themeColor="text1"/>
          <w14:textFill>
            <w14:solidFill>
              <w14:schemeClr w14:val="tx1"/>
            </w14:solidFill>
          </w14:textFill>
        </w:rPr>
        <w:t>理财本金全部损失风险</w:t>
      </w:r>
      <w:r>
        <w:rPr>
          <w:rFonts w:ascii="楷体_GB2312" w:hAnsi="Arial" w:eastAsia="楷体_GB2312" w:cs="楷体_GB2312"/>
          <w:b/>
          <w:color w:val="000000" w:themeColor="text1"/>
          <w14:textFill>
            <w14:solidFill>
              <w14:schemeClr w14:val="tx1"/>
            </w14:solidFill>
          </w14:textFill>
        </w:rPr>
        <w:t>、合作销售机构</w:t>
      </w:r>
      <w:r>
        <w:rPr>
          <w:rFonts w:hint="eastAsia" w:ascii="楷体_GB2312" w:hAnsi="Arial" w:eastAsia="楷体_GB2312" w:cs="楷体_GB2312"/>
          <w:b/>
          <w:color w:val="000000" w:themeColor="text1"/>
          <w14:textFill>
            <w14:solidFill>
              <w14:schemeClr w14:val="tx1"/>
            </w14:solidFill>
          </w14:textFill>
        </w:rPr>
        <w:t>（代销机构）</w:t>
      </w:r>
      <w:r>
        <w:rPr>
          <w:rFonts w:ascii="楷体_GB2312" w:hAnsi="Arial" w:eastAsia="楷体_GB2312" w:cs="楷体_GB2312"/>
          <w:b/>
          <w:color w:val="000000" w:themeColor="text1"/>
          <w14:textFill>
            <w14:solidFill>
              <w14:schemeClr w14:val="tx1"/>
            </w14:solidFill>
          </w14:textFill>
        </w:rPr>
        <w:t>风险、操作风险</w:t>
      </w:r>
      <w:r>
        <w:rPr>
          <w:rFonts w:hint="eastAsia" w:ascii="楷体_GB2312" w:hAnsi="Arial" w:eastAsia="楷体_GB2312" w:cs="楷体_GB2312"/>
          <w:b/>
          <w:color w:val="000000" w:themeColor="text1"/>
          <w14:textFill>
            <w14:solidFill>
              <w14:schemeClr w14:val="tx1"/>
            </w14:solidFill>
          </w14:textFill>
        </w:rPr>
        <w:t>、关联交易风险</w:t>
      </w:r>
      <w:r>
        <w:rPr>
          <w:rFonts w:ascii="楷体_GB2312" w:hAnsi="Arial" w:eastAsia="楷体_GB2312" w:cs="楷体_GB2312"/>
          <w:b/>
          <w:color w:val="000000" w:themeColor="text1"/>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val="000000" w:themeColor="text1"/>
          <w14:textFill>
            <w14:solidFill>
              <w14:schemeClr w14:val="tx1"/>
            </w14:solidFill>
          </w14:textFill>
        </w:rPr>
      </w:pPr>
      <w:r>
        <w:rPr>
          <w:rFonts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26EAF464">
      <w:pPr>
        <w:ind w:firstLine="480" w:firstLineChars="200"/>
        <w:jc w:val="both"/>
        <w:rPr>
          <w:rFonts w:ascii="楷体_GB2312" w:eastAsia="楷体_GB2312"/>
          <w:color w:val="000000" w:themeColor="text1"/>
          <w14:textFill>
            <w14:solidFill>
              <w14:schemeClr w14:val="tx1"/>
            </w14:solidFill>
          </w14:textFill>
        </w:rPr>
      </w:pPr>
    </w:p>
    <w:p w14:paraId="5F6FEF9B">
      <w:pPr>
        <w:ind w:firstLine="480" w:firstLineChars="200"/>
        <w:jc w:val="both"/>
        <w:rPr>
          <w:rFonts w:ascii="楷体_GB2312" w:hAnsi="Arial" w:eastAsia="楷体_GB2312" w:cs="楷体_GB2312"/>
          <w:color w:val="000000"/>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color w:val="000000"/>
        </w:rPr>
        <w:t>信银理财安盈象固收稳益三个月封闭式111号理财产品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rPr>
        <w:t>AF252167</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w:t>
      </w:r>
      <w:r>
        <w:rPr>
          <w:rFonts w:ascii="楷体_GB2312" w:hAnsi="Arial" w:eastAsia="楷体_GB2312" w:cs="楷体_GB2312"/>
          <w:color w:val="000000" w:themeColor="text1"/>
          <w14:textFill>
            <w14:solidFill>
              <w14:schemeClr w14:val="tx1"/>
            </w14:solidFill>
          </w14:textFill>
        </w:rPr>
        <w:t>封闭式</w:t>
      </w:r>
      <w:r>
        <w:rPr>
          <w:rFonts w:hint="eastAsia" w:ascii="楷体_GB2312" w:hAnsi="Arial" w:eastAsia="楷体_GB2312" w:cs="楷体_GB2312"/>
          <w:color w:val="000000" w:themeColor="text1"/>
          <w14:textFill>
            <w14:solidFill>
              <w14:schemeClr w14:val="tx1"/>
            </w14:solidFill>
          </w14:textFill>
        </w:rPr>
        <w:t>产品，期限为【</w:t>
      </w:r>
      <w:r>
        <w:rPr>
          <w:rFonts w:ascii="楷体_GB2312" w:hAnsi="Arial" w:eastAsia="楷体_GB2312" w:cs="楷体_GB2312"/>
          <w:color w:val="000000" w:themeColor="text1"/>
          <w14:textFill>
            <w14:solidFill>
              <w14:schemeClr w14:val="tx1"/>
            </w14:solidFill>
          </w14:textFill>
        </w:rPr>
        <w:t>91</w:t>
      </w:r>
      <w:r>
        <w:rPr>
          <w:rFonts w:hint="eastAsia" w:ascii="楷体_GB2312" w:hAnsi="Arial" w:eastAsia="楷体_GB2312" w:cs="楷体_GB2312"/>
          <w:color w:val="000000" w:themeColor="text1"/>
          <w14:textFill>
            <w14:solidFill>
              <w14:schemeClr w14:val="tx1"/>
            </w14:solidFill>
          </w14:textFill>
        </w:rPr>
        <w:t>】天，</w:t>
      </w:r>
      <w:r>
        <w:rPr>
          <w:rFonts w:hint="eastAsia" w:ascii="楷体_GB2312" w:hAnsi="Arial" w:eastAsia="楷体_GB2312" w:cs="楷体_GB2312"/>
          <w:color w:val="000000"/>
        </w:rPr>
        <w:t>风险评级为【</w:t>
      </w:r>
      <w:r>
        <w:rPr>
          <w:rFonts w:hint="eastAsia" w:ascii="楷体_GB2312" w:hAnsi="Arial" w:eastAsia="楷体_GB2312" w:cs="楷体_GB2312"/>
        </w:rPr>
        <w:t>PR1</w:t>
      </w:r>
      <w:r>
        <w:rPr>
          <w:rFonts w:hint="eastAsia" w:ascii="楷体_GB2312" w:hAnsi="Arial" w:eastAsia="楷体_GB2312" w:cs="楷体_GB2312"/>
          <w:color w:val="000000"/>
        </w:rPr>
        <w:t>】，适合购买客户为风险承受能力为【</w:t>
      </w:r>
      <w:r>
        <w:rPr>
          <w:rFonts w:ascii="楷体_GB2312" w:hAnsi="Arial" w:eastAsia="楷体_GB2312" w:cs="楷体_GB2312"/>
        </w:rPr>
        <w:t>谨慎型</w:t>
      </w:r>
      <w:r>
        <w:rPr>
          <w:rFonts w:hint="eastAsia" w:ascii="楷体_GB2312" w:hAnsi="Arial" w:eastAsia="楷体_GB2312" w:cs="楷体_GB2312"/>
          <w:color w:val="000000"/>
        </w:rPr>
        <w:t>】</w:t>
      </w:r>
      <w:r>
        <w:rPr>
          <w:rFonts w:ascii="楷体_GB2312" w:hAnsi="Arial" w:eastAsia="楷体_GB2312" w:cs="楷体_GB2312"/>
          <w:color w:val="000000"/>
        </w:rPr>
        <w:t xml:space="preserve"> </w:t>
      </w:r>
      <w:r>
        <w:rPr>
          <w:rFonts w:hint="eastAsia" w:ascii="楷体_GB2312" w:hAnsi="Arial" w:eastAsia="楷体_GB2312" w:cs="楷体_GB2312"/>
          <w:color w:val="000000"/>
        </w:rPr>
        <w:t>及以上的客户。【固定收益类产品仅是按照投资性质分类，并非指收益固定或保本。】</w:t>
      </w:r>
    </w:p>
    <w:p w14:paraId="092BC0C8">
      <w:pPr>
        <w:ind w:firstLine="480" w:firstLineChars="200"/>
        <w:jc w:val="both"/>
        <w:rPr>
          <w:rFonts w:ascii="楷体_GB2312" w:hAnsi="Arial" w:eastAsia="楷体_GB2312" w:cs="楷体_GB2312"/>
          <w:color w:val="000000" w:themeColor="text1"/>
          <w14:textFill>
            <w14:solidFill>
              <w14:schemeClr w14:val="tx1"/>
            </w14:solidFill>
          </w14:textFill>
        </w:rPr>
      </w:pPr>
    </w:p>
    <w:p w14:paraId="34725883">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ascii="楷体_GB2312" w:hAnsi="Arial" w:eastAsia="楷体_GB2312" w:cs="楷体_GB2312"/>
          <w:color w:val="000000" w:themeColor="text1"/>
          <w14:textFill>
            <w14:solidFill>
              <w14:schemeClr w14:val="tx1"/>
            </w14:solidFill>
          </w14:textFill>
        </w:rPr>
        <w:t>信银理财</w:t>
      </w:r>
      <w:r>
        <w:rPr>
          <w:rFonts w:hint="eastAsia" w:ascii="楷体_GB2312" w:hAnsi="Arial" w:eastAsia="楷体_GB2312" w:cs="楷体_GB2312"/>
          <w:color w:val="000000" w:themeColor="text1"/>
          <w14:textFill>
            <w14:solidFill>
              <w14:schemeClr w14:val="tx1"/>
            </w14:solidFill>
          </w14:textFill>
        </w:rPr>
        <w:t>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F0247FB">
      <w:pPr>
        <w:ind w:firstLine="480" w:firstLineChars="200"/>
        <w:jc w:val="both"/>
        <w:rPr>
          <w:rFonts w:ascii="楷体_GB2312" w:hAnsi="Arial" w:eastAsia="楷体_GB2312"/>
          <w:color w:val="000000" w:themeColor="text1"/>
          <w14:textFill>
            <w14:solidFill>
              <w14:schemeClr w14:val="tx1"/>
            </w14:solidFill>
          </w14:textFill>
        </w:rPr>
      </w:pPr>
    </w:p>
    <w:p w14:paraId="4E6B2A47">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1FF2D2D5">
      <w:pPr>
        <w:jc w:val="both"/>
        <w:rPr>
          <w:rFonts w:ascii="楷体_GB2312" w:hAnsi="楷体_GB2312" w:eastAsia="楷体_GB2312" w:cs="楷体_GB2312"/>
          <w:b/>
          <w:bCs/>
          <w:color w:val="000000" w:themeColor="text1"/>
          <w14:textFill>
            <w14:solidFill>
              <w14:schemeClr w14:val="tx1"/>
            </w14:solidFill>
          </w14:textFill>
        </w:rPr>
      </w:pPr>
    </w:p>
    <w:p w14:paraId="3F62ABD2">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1CDE6969">
      <w:pPr>
        <w:ind w:firstLine="482" w:firstLineChars="200"/>
        <w:jc w:val="both"/>
        <w:rPr>
          <w:rFonts w:ascii="黑体" w:hAnsi="黑体" w:eastAsia="黑体"/>
          <w:b/>
          <w:color w:val="000000" w:themeColor="text1"/>
          <w14:textFill>
            <w14:solidFill>
              <w14:schemeClr w14:val="tx1"/>
            </w14:solidFill>
          </w14:textFill>
        </w:rPr>
      </w:pPr>
    </w:p>
    <w:p w14:paraId="6131B3EA">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0EB74BAF">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7D9DAD70">
      <w:pPr>
        <w:jc w:val="center"/>
        <w:rPr>
          <w:rFonts w:ascii="楷体_GB2312" w:hAnsi="Arial" w:eastAsia="楷体_GB2312" w:cs="楷体_GB2312"/>
          <w:b/>
          <w:bCs/>
          <w:color w:val="000000" w:themeColor="text1"/>
          <w:u w:val="single"/>
          <w14:textFill>
            <w14:solidFill>
              <w14:schemeClr w14:val="tx1"/>
            </w14:solidFill>
          </w14:textFill>
        </w:rPr>
      </w:pPr>
    </w:p>
    <w:p w14:paraId="27025074">
      <w:pPr>
        <w:jc w:val="center"/>
        <w:rPr>
          <w:rFonts w:ascii="楷体_GB2312" w:hAnsi="Arial" w:eastAsia="楷体_GB2312" w:cs="楷体_GB2312"/>
          <w:b/>
          <w:bCs/>
          <w:color w:val="000000" w:themeColor="text1"/>
          <w:u w:val="single"/>
          <w14:textFill>
            <w14:solidFill>
              <w14:schemeClr w14:val="tx1"/>
            </w14:solidFill>
          </w14:textFill>
        </w:rPr>
      </w:pPr>
    </w:p>
    <w:p w14:paraId="6FF55B5C">
      <w:pPr>
        <w:jc w:val="center"/>
        <w:rPr>
          <w:rFonts w:ascii="楷体_GB2312" w:hAnsi="Arial" w:eastAsia="楷体_GB2312" w:cs="楷体_GB2312"/>
          <w:b/>
          <w:bCs/>
          <w:color w:val="000000" w:themeColor="text1"/>
          <w:u w:val="single"/>
          <w14:textFill>
            <w14:solidFill>
              <w14:schemeClr w14:val="tx1"/>
            </w14:solidFill>
          </w14:textFill>
        </w:rPr>
      </w:pPr>
    </w:p>
    <w:p w14:paraId="3EA580B0">
      <w:pPr>
        <w:jc w:val="center"/>
        <w:rPr>
          <w:rFonts w:ascii="楷体_GB2312" w:hAnsi="Arial" w:eastAsia="楷体_GB2312" w:cs="楷体_GB2312"/>
          <w:b/>
          <w:bCs/>
          <w:color w:val="000000" w:themeColor="text1"/>
          <w:u w:val="single"/>
          <w14:textFill>
            <w14:solidFill>
              <w14:schemeClr w14:val="tx1"/>
            </w14:solidFill>
          </w14:textFill>
        </w:rPr>
      </w:pPr>
    </w:p>
    <w:p w14:paraId="3CA64456">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045B8D76">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hAnsi="Arial" w:eastAsia="楷体_GB2312" w:cs="楷体_GB2312"/>
          <w:color w:val="000000" w:themeColor="text1"/>
          <w14:textFill>
            <w14:solidFill>
              <w14:schemeClr w14:val="tx1"/>
            </w14:solidFill>
          </w14:textFill>
        </w:rPr>
        <w:t>单位</w:t>
      </w:r>
      <w:r>
        <w:rPr>
          <w:rFonts w:hint="eastAsia" w:ascii="楷体_GB2312" w:hAnsi="Arial" w:eastAsia="楷体_GB2312" w:cs="楷体_GB2312"/>
          <w:color w:val="000000" w:themeColor="text1"/>
          <w14:textFill>
            <w14:solidFill>
              <w14:schemeClr w14:val="tx1"/>
            </w14:solidFill>
          </w14:textFill>
        </w:rPr>
        <w:t>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59F21140">
      <w:pPr>
        <w:pStyle w:val="19"/>
        <w:ind w:firstLine="480" w:firstLineChars="0"/>
        <w:jc w:val="both"/>
        <w:rPr>
          <w:rFonts w:ascii="楷体_GB2312" w:eastAsia="楷体_GB2312"/>
          <w:color w:val="000000" w:themeColor="text1"/>
          <w14:textFill>
            <w14:solidFill>
              <w14:schemeClr w14:val="tx1"/>
            </w14:solidFill>
          </w14:textFill>
        </w:rPr>
      </w:pPr>
    </w:p>
    <w:p w14:paraId="45A516E4">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确认，将向本理财产品销售机构真实提供信息，自主作出认购等决定，独立对销售文件进行签字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52C132D">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3CFFB98C">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w:t>
      </w:r>
      <w:r>
        <w:rPr>
          <w:rFonts w:ascii="楷体_GB2312" w:hAnsi="Arial" w:eastAsia="楷体_GB2312" w:cs="楷体_GB2312"/>
          <w:color w:val="000000" w:themeColor="text1"/>
          <w14:textFill>
            <w14:solidFill>
              <w14:schemeClr w14:val="tx1"/>
            </w14:solidFill>
          </w14:textFill>
        </w:rPr>
        <w:t>理财及代销机构</w:t>
      </w:r>
      <w:r>
        <w:rPr>
          <w:rFonts w:hint="eastAsia" w:ascii="楷体_GB2312" w:hAnsi="Arial" w:eastAsia="楷体_GB2312" w:cs="楷体_GB2312"/>
          <w:color w:val="000000" w:themeColor="text1"/>
          <w14:textFill>
            <w14:solidFill>
              <w14:schemeClr w14:val="tx1"/>
            </w14:solidFill>
          </w14:textFill>
        </w:rPr>
        <w:t>的联系方式及投诉程序等内容。</w:t>
      </w:r>
    </w:p>
    <w:p w14:paraId="63C2AE0C">
      <w:pPr>
        <w:ind w:firstLine="480" w:firstLineChars="200"/>
        <w:jc w:val="both"/>
        <w:rPr>
          <w:rFonts w:ascii="楷体_GB2312" w:hAnsi="Arial" w:eastAsia="楷体_GB2312" w:cs="楷体_GB2312"/>
          <w:color w:val="000000" w:themeColor="text1"/>
          <w14:textFill>
            <w14:solidFill>
              <w14:schemeClr w14:val="tx1"/>
            </w14:solidFill>
          </w14:textFill>
        </w:rPr>
      </w:pPr>
    </w:p>
    <w:p w14:paraId="56A3E1B8">
      <w:pPr>
        <w:ind w:firstLine="480" w:firstLineChars="200"/>
        <w:jc w:val="both"/>
        <w:rPr>
          <w:color w:val="000000" w:themeColor="text1"/>
          <w14:textFill>
            <w14:solidFill>
              <w14:schemeClr w14:val="tx1"/>
            </w14:solidFill>
          </w14:textFill>
        </w:rPr>
      </w:pPr>
    </w:p>
    <w:p w14:paraId="17873AF1">
      <w:pPr>
        <w:ind w:firstLine="480" w:firstLineChars="200"/>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4E19D756">
      <w:pPr>
        <w:ind w:firstLine="480" w:firstLineChars="200"/>
        <w:jc w:val="both"/>
        <w:rPr>
          <w:rFonts w:ascii="楷体_GB2312" w:hAnsi="Arial" w:eastAsia="楷体_GB2312" w:cs="楷体_GB2312"/>
          <w:color w:val="000000" w:themeColor="text1"/>
          <w14:textFill>
            <w14:solidFill>
              <w14:schemeClr w14:val="tx1"/>
            </w14:solidFill>
          </w14:textFill>
        </w:rPr>
      </w:pPr>
    </w:p>
    <w:p w14:paraId="2C95DF0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】系信银理财的【唯一股东】，【中信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w:t>
      </w:r>
      <w:r>
        <w:rPr>
          <w:rFonts w:ascii="楷体_GB2312" w:hAnsi="Arial" w:eastAsia="楷体_GB2312" w:cs="楷体_GB2312"/>
          <w:b/>
          <w:bCs/>
          <w:color w:val="000000" w:themeColor="text1"/>
          <w14:textFill>
            <w14:solidFill>
              <w14:schemeClr w14:val="tx1"/>
            </w14:solidFill>
          </w14:textFill>
        </w:rPr>
        <w:t>公司</w:t>
      </w:r>
      <w:r>
        <w:rPr>
          <w:rFonts w:hint="eastAsia" w:ascii="楷体_GB2312" w:hAnsi="Arial" w:eastAsia="楷体_GB2312" w:cs="楷体_GB2312"/>
          <w:b/>
          <w:bCs/>
          <w:color w:val="000000" w:themeColor="text1"/>
          <w14:textFill>
            <w14:solidFill>
              <w14:schemeClr w14:val="tx1"/>
            </w14:solidFill>
          </w14:textFill>
        </w:rPr>
        <w:t>、中信</w:t>
      </w:r>
      <w:r>
        <w:rPr>
          <w:rFonts w:ascii="楷体_GB2312" w:hAnsi="Arial" w:eastAsia="楷体_GB2312" w:cs="楷体_GB2312"/>
          <w:b/>
          <w:bCs/>
          <w:color w:val="000000" w:themeColor="text1"/>
          <w14:textFill>
            <w14:solidFill>
              <w14:schemeClr w14:val="tx1"/>
            </w14:solidFill>
          </w14:textFill>
        </w:rPr>
        <w:t>百信银行</w:t>
      </w:r>
      <w:r>
        <w:rPr>
          <w:rFonts w:hint="eastAsia" w:ascii="楷体_GB2312" w:hAnsi="Arial" w:eastAsia="楷体_GB2312" w:cs="楷体_GB2312"/>
          <w:b/>
          <w:bCs/>
          <w:color w:val="000000" w:themeColor="text1"/>
          <w14:textFill>
            <w14:solidFill>
              <w14:schemeClr w14:val="tx1"/>
            </w14:solidFill>
          </w14:textFill>
        </w:rPr>
        <w:t>股份</w:t>
      </w:r>
      <w:r>
        <w:rPr>
          <w:rFonts w:ascii="楷体_GB2312" w:hAnsi="Arial" w:eastAsia="楷体_GB2312" w:cs="楷体_GB2312"/>
          <w:b/>
          <w:bCs/>
          <w:color w:val="000000" w:themeColor="text1"/>
          <w14:textFill>
            <w14:solidFill>
              <w14:schemeClr w14:val="tx1"/>
            </w14:solidFill>
          </w14:textFill>
        </w:rPr>
        <w:t>有限</w:t>
      </w:r>
      <w:r>
        <w:rPr>
          <w:rFonts w:hint="eastAsia" w:ascii="楷体_GB2312" w:hAnsi="Arial" w:eastAsia="楷体_GB2312" w:cs="楷体_GB2312"/>
          <w:b/>
          <w:bCs/>
          <w:color w:val="000000" w:themeColor="text1"/>
          <w14:textFill>
            <w14:solidFill>
              <w14:schemeClr w14:val="tx1"/>
            </w14:solidFill>
          </w14:textFill>
        </w:rPr>
        <w:t>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012CD0F3">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566B1FB3">
      <w:pPr>
        <w:rPr>
          <w:rFonts w:ascii="楷体_GB2312" w:eastAsia="楷体_GB2312"/>
          <w:color w:val="000000" w:themeColor="text1"/>
          <w14:textFill>
            <w14:solidFill>
              <w14:schemeClr w14:val="tx1"/>
            </w14:solidFill>
          </w14:textFill>
        </w:rPr>
      </w:pPr>
    </w:p>
    <w:p w14:paraId="57B32EB0">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2C680FE1">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本人/本单位已经阅读风险揭示，愿意承担投资风险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49D6EBD1">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3283F598">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090DF99D">
      <w:pPr>
        <w:snapToGrid w:val="0"/>
        <w:ind w:left="-426"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37549A0E">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4602A6ED">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bookmarkEnd w:id="0"/>
    <w:p w14:paraId="44EB9DE1">
      <w:pPr>
        <w:snapToGrid w:val="0"/>
        <w:ind w:right="440"/>
        <w:rPr>
          <w:rFonts w:ascii="黑体" w:hAnsi="Times New Roman" w:eastAsia="黑体" w:cs="Arial"/>
        </w:rPr>
      </w:pPr>
    </w:p>
    <w:p w14:paraId="47B6070B">
      <w:pPr>
        <w:snapToGrid w:val="0"/>
        <w:ind w:right="440"/>
        <w:rPr>
          <w:rFonts w:ascii="黑体" w:hAnsi="Times New Roman" w:eastAsia="黑体" w:cs="Arial"/>
        </w:rPr>
        <w:sectPr>
          <w:headerReference r:id="rId5" w:type="default"/>
          <w:pgSz w:w="11906" w:h="16838"/>
          <w:pgMar w:top="1440" w:right="1797" w:bottom="1440" w:left="1797" w:header="851" w:footer="992" w:gutter="0"/>
          <w:pgNumType w:start="1"/>
          <w:cols w:space="720" w:num="1"/>
          <w:docGrid w:linePitch="326" w:charSpace="0"/>
        </w:sectPr>
      </w:pPr>
    </w:p>
    <w:p w14:paraId="06C40A91">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Z7002625002811】</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6AFAA48A">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5A961E9D">
      <w:pPr>
        <w:spacing w:line="300" w:lineRule="exact"/>
        <w:ind w:right="-792" w:rightChars="-330"/>
        <w:rPr>
          <w:rFonts w:ascii="黑体" w:hAnsi="黑体" w:eastAsia="黑体"/>
          <w:color w:val="000000" w:themeColor="text1"/>
          <w:sz w:val="21"/>
          <w:szCs w:val="21"/>
          <w14:textFill>
            <w14:solidFill>
              <w14:schemeClr w14:val="tx1"/>
            </w14:solidFill>
          </w14:textFill>
        </w:rPr>
      </w:pPr>
    </w:p>
    <w:p w14:paraId="2006040B">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0D7ED81A">
      <w:pPr>
        <w:widowControl w:val="0"/>
        <w:spacing w:line="300" w:lineRule="exact"/>
        <w:ind w:right="-792" w:rightChars="-330"/>
        <w:jc w:val="center"/>
        <w:rPr>
          <w:rFonts w:ascii="黑体" w:hAnsi="Calibri"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信银理财安盈象固收稳益三个月封闭式111号理财产品</w:t>
      </w:r>
      <w:r>
        <w:rPr>
          <w:rFonts w:hint="eastAsia" w:ascii="黑体" w:hAnsi="Calibri" w:eastAsia="黑体" w:cs="黑体"/>
          <w:b/>
          <w:bCs/>
          <w:color w:val="000000" w:themeColor="text1"/>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Calibri" w:eastAsia="黑体" w:cs="黑体"/>
          <w:b/>
          <w:bCs/>
          <w:color w:val="000000" w:themeColor="text1"/>
          <w:sz w:val="20"/>
          <w:szCs w:val="20"/>
          <w14:textFill>
            <w14:solidFill>
              <w14:schemeClr w14:val="tx1"/>
            </w14:solidFill>
          </w14:textFill>
        </w:rPr>
        <w:t>产品代码</w:t>
      </w:r>
      <w:r>
        <w:rPr>
          <w:rFonts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sz w:val="20"/>
          <w:szCs w:val="20"/>
        </w:rPr>
        <w:t>AF252167</w:t>
      </w:r>
      <w:r>
        <w:rPr>
          <w:rFonts w:ascii="黑体" w:hAnsi="Calibri"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14:paraId="7FE49EE9">
      <w:pPr>
        <w:spacing w:line="300" w:lineRule="exact"/>
        <w:ind w:right="-792" w:rightChars="-330"/>
        <w:rPr>
          <w:color w:val="000000" w:themeColor="text1"/>
          <w14:textFill>
            <w14:solidFill>
              <w14:schemeClr w14:val="tx1"/>
            </w14:solidFill>
          </w14:textFill>
        </w:rPr>
      </w:pPr>
    </w:p>
    <w:p w14:paraId="0D4AD12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575147D5">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w:t>
      </w:r>
      <w:r>
        <w:rPr>
          <w:rFonts w:ascii="黑体" w:hAnsi="Times New Roman" w:eastAsia="黑体" w:cs="黑体"/>
          <w:b/>
          <w:color w:val="000000" w:themeColor="text1"/>
          <w:sz w:val="20"/>
          <w:szCs w:val="20"/>
          <w14:textFill>
            <w14:solidFill>
              <w14:schemeClr w14:val="tx1"/>
            </w14:solidFill>
          </w14:textFill>
        </w:rPr>
        <w:t>91</w:t>
      </w:r>
      <w:r>
        <w:rPr>
          <w:rFonts w:hint="eastAsia" w:ascii="黑体" w:hAnsi="Times New Roman" w:eastAsia="黑体" w:cs="黑体"/>
          <w:b/>
          <w:color w:val="000000" w:themeColor="text1"/>
          <w:sz w:val="20"/>
          <w:szCs w:val="20"/>
          <w14:textFill>
            <w14:solidFill>
              <w14:schemeClr w14:val="tx1"/>
            </w14:solidFill>
          </w14:textFill>
        </w:rPr>
        <w:t>】天，到期日为</w:t>
      </w:r>
      <w:r>
        <w:rPr>
          <w:rFonts w:ascii="黑体" w:hAnsi="Times New Roman" w:eastAsia="黑体" w:cs="黑体"/>
          <w:b/>
          <w:color w:val="000000" w:themeColor="text1"/>
          <w:sz w:val="20"/>
          <w:szCs w:val="20"/>
          <w14:textFill>
            <w14:solidFill>
              <w14:schemeClr w14:val="tx1"/>
            </w14:solidFill>
          </w14:textFill>
        </w:rPr>
        <w:t>【2026】年【4】月【24】日</w:t>
      </w:r>
      <w:r>
        <w:rPr>
          <w:rFonts w:hint="eastAsia" w:ascii="黑体" w:hAnsi="Times New Roman" w:eastAsia="黑体" w:cs="黑体"/>
          <w:b/>
          <w:color w:val="000000" w:themeColor="text1"/>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14:paraId="3297E99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56DCE51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color w:val="000000" w:themeColor="text1"/>
          <w:sz w:val="20"/>
          <w:szCs w:val="20"/>
          <w14:textFill>
            <w14:solidFill>
              <w14:schemeClr w14:val="tx1"/>
            </w14:solidFill>
          </w14:textFill>
        </w:rPr>
        <w:t>机构</w:t>
      </w:r>
      <w:r>
        <w:rPr>
          <w:rFonts w:hint="eastAsia" w:ascii="黑体" w:hAnsi="Times New Roman" w:eastAsia="黑体" w:cs="黑体"/>
          <w:color w:val="000000" w:themeColor="text1"/>
          <w:sz w:val="20"/>
          <w:szCs w:val="20"/>
          <w14:textFill>
            <w14:solidFill>
              <w14:schemeClr w14:val="tx1"/>
            </w14:solidFill>
          </w14:textFill>
        </w:rPr>
        <w:t>各营业场所或营业</w:t>
      </w:r>
      <w:r>
        <w:rPr>
          <w:rFonts w:ascii="黑体" w:hAnsi="Times New Roman" w:eastAsia="黑体" w:cs="黑体"/>
          <w:color w:val="000000" w:themeColor="text1"/>
          <w:sz w:val="20"/>
          <w:szCs w:val="20"/>
          <w14:textFill>
            <w14:solidFill>
              <w14:schemeClr w14:val="tx1"/>
            </w14:solidFill>
          </w14:textFill>
        </w:rPr>
        <w:t>网点</w:t>
      </w:r>
      <w:r>
        <w:rPr>
          <w:rFonts w:hint="eastAsia" w:ascii="黑体" w:hAnsi="Times New Roman" w:eastAsia="黑体" w:cs="黑体"/>
          <w:color w:val="000000" w:themeColor="text1"/>
          <w:sz w:val="20"/>
          <w:szCs w:val="20"/>
          <w14:textFill>
            <w14:solidFill>
              <w14:schemeClr w14:val="tx1"/>
            </w14:solidFill>
          </w14:textFill>
        </w:rPr>
        <w:t>咨询。</w:t>
      </w:r>
    </w:p>
    <w:p w14:paraId="422532DF">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25097462">
      <w:pPr>
        <w:snapToGrid w:val="0"/>
        <w:ind w:firstLine="20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7B53214D">
      <w:pPr>
        <w:snapToGrid w:val="0"/>
        <w:ind w:firstLine="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理财产品不成立风险：如发生理财产品不成立条款约定之情形，信银理财有权通知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未及时将投资者认购</w:t>
      </w:r>
      <w:r>
        <w:rPr>
          <w:rFonts w:ascii="黑体" w:hAnsi="黑体" w:eastAsia="黑体"/>
          <w:b/>
          <w:color w:val="000000" w:themeColor="text1"/>
          <w:sz w:val="20"/>
          <w:szCs w:val="20"/>
          <w14:textFill>
            <w14:solidFill>
              <w14:schemeClr w14:val="tx1"/>
            </w14:solidFill>
          </w14:textFill>
        </w:rPr>
        <w:t>资金划转至信银理财，将导致投资者无法完成认购，因此造成的损失信银理财不承担责任；在</w:t>
      </w:r>
      <w:r>
        <w:rPr>
          <w:rFonts w:hint="eastAsia" w:ascii="黑体" w:hAnsi="黑体" w:eastAsia="黑体"/>
          <w:b/>
          <w:color w:val="000000" w:themeColor="text1"/>
          <w:sz w:val="20"/>
          <w:szCs w:val="20"/>
          <w14:textFill>
            <w14:solidFill>
              <w14:schemeClr w14:val="tx1"/>
            </w14:solidFill>
          </w14:textFill>
        </w:rPr>
        <w:t>赎回和</w:t>
      </w:r>
      <w:r>
        <w:rPr>
          <w:rFonts w:ascii="黑体" w:hAnsi="黑体" w:eastAsia="黑体"/>
          <w:b/>
          <w:color w:val="000000" w:themeColor="text1"/>
          <w:sz w:val="20"/>
          <w:szCs w:val="20"/>
          <w14:textFill>
            <w14:solidFill>
              <w14:schemeClr w14:val="tx1"/>
            </w14:solidFill>
          </w14:textFill>
        </w:rPr>
        <w:t>到期时，信银理财将投资者应得资金划转至合作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w:t>
      </w:r>
      <w:r>
        <w:rPr>
          <w:rFonts w:ascii="黑体" w:hAnsi="黑体" w:eastAsia="黑体"/>
          <w:b/>
          <w:color w:val="000000" w:themeColor="text1"/>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hAnsi="黑体" w:eastAsia="黑体"/>
          <w:color w:val="000000" w:themeColor="text1"/>
          <w:sz w:val="20"/>
          <w:szCs w:val="20"/>
          <w14:textFill>
            <w14:solidFill>
              <w14:schemeClr w14:val="tx1"/>
            </w14:solidFill>
          </w14:textFill>
        </w:rPr>
      </w:pPr>
    </w:p>
    <w:p w14:paraId="2A93202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w:t>
      </w:r>
      <w:r>
        <w:rPr>
          <w:rFonts w:ascii="黑体" w:hAnsi="Times New Roman" w:eastAsia="黑体" w:cs="黑体"/>
          <w:b/>
          <w:bCs/>
          <w:color w:val="000000" w:themeColor="text1"/>
          <w:sz w:val="20"/>
          <w:szCs w:val="20"/>
          <w14:textFill>
            <w14:solidFill>
              <w14:schemeClr w14:val="tx1"/>
            </w14:solidFill>
          </w14:textFill>
        </w:rPr>
        <w:t>定义：</w:t>
      </w:r>
    </w:p>
    <w:p w14:paraId="1E80C41F">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/净资产</w:t>
      </w:r>
      <w:r>
        <w:rPr>
          <w:rFonts w:ascii="黑体" w:hAnsi="黑体" w:eastAsia="黑体"/>
          <w:color w:val="000000" w:themeColor="text1"/>
          <w:sz w:val="20"/>
          <w:szCs w:val="20"/>
          <w14:textFill>
            <w14:solidFill>
              <w14:schemeClr w14:val="tx1"/>
            </w14:solidFill>
          </w14:textFill>
        </w:rPr>
        <w:t>：资产净值=产品资产总值-产品负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w:t>
      </w:r>
      <w:r>
        <w:rPr>
          <w:rFonts w:hint="eastAsia" w:ascii="黑体" w:hAnsi="黑体" w:eastAsia="黑体"/>
          <w:color w:val="000000" w:themeColor="text1"/>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，扣除认购费后</w:t>
      </w:r>
      <w:r>
        <w:rPr>
          <w:rFonts w:ascii="黑体" w:hAnsi="黑体" w:eastAsia="黑体"/>
          <w:color w:val="000000" w:themeColor="text1"/>
          <w:sz w:val="20"/>
          <w:szCs w:val="20"/>
          <w14:textFill>
            <w14:solidFill>
              <w14:schemeClr w14:val="tx1"/>
            </w14:solidFill>
          </w14:textFill>
        </w:rPr>
        <w:t>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14．信银理财电子渠道：指信银理财官方网站（</w:t>
      </w:r>
      <w:r>
        <w:rPr>
          <w:rStyle w:val="11"/>
          <w:rFonts w:ascii="黑体" w:hAnsi="黑体" w:eastAsia="黑体"/>
          <w:sz w:val="20"/>
          <w:szCs w:val="20"/>
        </w:rPr>
        <w:fldChar w:fldCharType="begin"/>
      </w:r>
      <w:r>
        <w:rPr>
          <w:rStyle w:val="11"/>
          <w:rFonts w:ascii="黑体" w:hAnsi="黑体" w:eastAsia="黑体"/>
          <w:sz w:val="20"/>
          <w:szCs w:val="20"/>
        </w:rPr>
        <w:instrText xml:space="preserve"> HYPERLINK "http://www.citic-wealth.com" </w:instrText>
      </w:r>
      <w:r>
        <w:rPr>
          <w:rStyle w:val="11"/>
          <w:rFonts w:ascii="黑体" w:hAnsi="黑体" w:eastAsia="黑体"/>
          <w:sz w:val="20"/>
          <w:szCs w:val="20"/>
        </w:rP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14:paraId="0F96C1C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525AFA1F">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2370"/>
        <w:gridCol w:w="3770"/>
      </w:tblGrid>
      <w:tr w14:paraId="0860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2F62CB8A">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1695DDE9">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14:paraId="1029746E">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26A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571315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7EBF8FB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14:paraId="48987A9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70A7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055A059B">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1DA79A4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14:paraId="5FB6EAD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19CD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9D1EA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4AAA9B0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14:paraId="5CFE2FE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2750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3150E7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198B42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14:paraId="7746408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623C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D09A3A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7BD6D5D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14:paraId="762AD7B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F46C695">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5DA403D6">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683DC93B">
      <w:pPr>
        <w:snapToGrid w:val="0"/>
        <w:ind w:left="433" w:right="53" w:rightChars="22" w:firstLine="0" w:firstLineChars="0"/>
        <w:outlineLvl w:val="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．产品投资策略：</w:t>
      </w:r>
    </w:p>
    <w:p w14:paraId="2E9FE289">
      <w:pPr>
        <w:spacing w:line="300" w:lineRule="exact"/>
        <w:ind w:left="-2" w:leftChars="-1" w:right="36" w:rightChars="15" w:firstLine="42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通过综合分析经济形势、货币政策、利率走势、行业状况、信用风险等因素，自上而下，立足于经济周期的不同阶段，判断利率趋势及行业趋势，井结合内部信用评级制度，分析企业的市场地位、管理水平、发展趋势和财务状况等，以此作为产品投资的重要依据。</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产品拟通过投资存款、同业借款、债券等资产，以票息收入作为实现产品相对稳定收益的基础，拟通过积极的交易策略进行产品收益增厚。</w:t>
      </w:r>
    </w:p>
    <w:p w14:paraId="032DBAE6">
      <w:pPr>
        <w:spacing w:line="300" w:lineRule="exact"/>
        <w:ind w:left="-2" w:leftChars="0" w:right="36" w:rightChars="15" w:firstLine="420" w:firstLineChars="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37379198">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04B61E15">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10C6F30">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76EF9675">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C290A87">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right="36" w:rightChars="15" w:firstLine="420" w:firstLineChars="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4CFBB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DF0D60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1BA084F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06148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3BD743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002CA2B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2066F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C95E97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06CBEEF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【0%-49%</w:t>
            </w:r>
            <w:r>
              <w:rPr>
                <w:rFonts w:ascii="楷体" w:hAnsi="楷体" w:eastAsia="楷体"/>
                <w:color w:val="000000" w:themeColor="text1"/>
                <w:sz w:val="20"/>
                <w:szCs w:val="20"/>
                <w14:textFill>
                  <w14:solidFill>
                    <w14:schemeClr w14:val="tx1"/>
                  </w14:solidFill>
                </w14:textFill>
              </w:rPr>
              <w:t>】</w:t>
            </w:r>
          </w:p>
        </w:tc>
      </w:tr>
      <w:tr w14:paraId="76D43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F568B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4CAD7C05">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F4EE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BFAE4AE">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6612C44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7AD8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1AB16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486BB9B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065AA9BC">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保险资产管理机构等依法设立的资产管理产品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hAnsi="Times New Roman" w:eastAsia="楷体_GB2312" w:cs="楷体_GB2312"/>
          <w:color w:val="000000" w:themeColor="text1"/>
          <w:sz w:val="20"/>
          <w:szCs w:val="20"/>
          <w14:textFill>
            <w14:solidFill>
              <w14:schemeClr w14:val="tx1"/>
            </w14:solidFill>
          </w14:textFill>
        </w:rPr>
        <w:t>交易日内调整至</w:t>
      </w:r>
      <w:r>
        <w:rPr>
          <w:rFonts w:hint="eastAsia" w:ascii="Times New Roman" w:hAnsi="Times New Roman" w:eastAsia="楷体_GB2312" w:cs="楷体_GB2312"/>
          <w:color w:val="000000" w:themeColor="text1"/>
          <w:sz w:val="20"/>
          <w:szCs w:val="20"/>
          <w14:textFill>
            <w14:solidFill>
              <w14:schemeClr w14:val="tx1"/>
            </w14:solidFill>
          </w14:textFill>
        </w:rPr>
        <w:t>至符合</w:t>
      </w:r>
      <w:r>
        <w:rPr>
          <w:rFonts w:ascii="Times New Roman" w:hAnsi="Times New Roman" w:eastAsia="楷体_GB2312" w:cs="楷体_GB2312"/>
          <w:color w:val="000000" w:themeColor="text1"/>
          <w:sz w:val="20"/>
          <w:szCs w:val="20"/>
          <w14:textFill>
            <w14:solidFill>
              <w14:schemeClr w14:val="tx1"/>
            </w14:solidFill>
          </w14:textFill>
        </w:rPr>
        <w:t>要求</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s="楷体_GB2312"/>
          <w:color w:val="000000" w:themeColor="text1"/>
          <w:sz w:val="20"/>
          <w:szCs w:val="20"/>
          <w14:textFill>
            <w14:solidFill>
              <w14:schemeClr w14:val="tx1"/>
            </w14:solidFill>
          </w14:textFill>
        </w:rPr>
        <w:t>。</w:t>
      </w:r>
    </w:p>
    <w:p w14:paraId="3B0557B5">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w:t>
      </w:r>
      <w:r>
        <w:rPr>
          <w:rFonts w:ascii="楷体_GB2312" w:eastAsia="楷体_GB2312" w:cs="楷体_GB2312"/>
          <w:sz w:val="20"/>
          <w:szCs w:val="20"/>
        </w:rPr>
        <w:t>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w:t>
      </w:r>
      <w:r>
        <w:rPr>
          <w:rFonts w:ascii="Times New Roman" w:hAnsi="Times New Roman" w:eastAsia="楷体_GB2312" w:cs="楷体_GB2312"/>
          <w:color w:val="000000" w:themeColor="text1"/>
          <w:sz w:val="20"/>
          <w:szCs w:val="20"/>
          <w14:textFill>
            <w14:solidFill>
              <w14:schemeClr w14:val="tx1"/>
            </w14:solidFill>
          </w14:textFill>
        </w:rPr>
        <w:t>限制：</w:t>
      </w:r>
    </w:p>
    <w:p w14:paraId="32AEEF17">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（1）本产品总资产不得超过净资产的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200%；</w:t>
      </w:r>
    </w:p>
    <w:p w14:paraId="712A273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本产品投资单只证券或者单只公募证券投资基金的市值不得超过产品净资产的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hAnsi="Times New Roman" w:eastAsia="楷体_GB2312" w:cs="楷体_GB2312"/>
          <w:b/>
          <w:bCs/>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（3</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bCs/>
          <w:color w:val="000000" w:themeColor="text1"/>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b）计划投资上述资产的比例达到产品净资产50%以上。</w:t>
      </w:r>
      <w:r>
        <w:rPr>
          <w:rFonts w:hint="eastAsia" w:ascii="楷体_GB2312" w:eastAsia="楷体_GB2312"/>
          <w:color w:val="000000" w:themeColor="text1"/>
          <w:sz w:val="20"/>
          <w:szCs w:val="20"/>
          <w14:textFill>
            <w14:solidFill>
              <w14:schemeClr w14:val="tx1"/>
            </w14:solidFill>
          </w14:textFill>
        </w:rPr>
        <w:t xml:space="preserve"> </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（4）其他投资限制：直接或间接投资于银行存款、同业存单、回购、非标资产占比不低于非现金资产比例的60%。</w:t>
      </w:r>
    </w:p>
    <w:p w14:paraId="2B58A500">
      <w:pPr>
        <w:spacing w:line="300" w:lineRule="exact"/>
        <w:ind w:firstLine="400" w:firstLineChars="200"/>
        <w:jc w:val="both"/>
        <w:rPr>
          <w:rFonts w:ascii="Times New Roman" w:hAnsi="Times New Roman" w:eastAsia="楷体_GB2312" w:cs="楷体_GB2312"/>
          <w:color w:val="000000" w:themeColor="text1"/>
          <w:sz w:val="20"/>
          <w:szCs w:val="20"/>
          <w:u w:val="single"/>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val="000000" w:themeColor="text1"/>
          <w14:textFill>
            <w14:solidFill>
              <w14:schemeClr w14:val="tx1"/>
            </w14:solidFill>
          </w14:textFill>
        </w:rPr>
      </w:pPr>
    </w:p>
    <w:p w14:paraId="23DEDF75">
      <w:pPr>
        <w:snapToGrid w:val="0"/>
        <w:ind w:left="-2" w:leftChars="-1" w:right="53" w:rightChars="22"/>
        <w:outlineLvl w:val="0"/>
        <w:rPr>
          <w:rFonts w:ascii="楷体" w:hAnsi="楷体" w:eastAsia="楷体"/>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0"/>
        <w:gridCol w:w="6328"/>
      </w:tblGrid>
      <w:tr w14:paraId="39D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0" w:type="pct"/>
            <w:vAlign w:val="center"/>
          </w:tcPr>
          <w:p w14:paraId="6269E19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09" w:type="pct"/>
            <w:vAlign w:val="center"/>
          </w:tcPr>
          <w:p w14:paraId="76DC5EED">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【信银理财安盈象固收稳益三个月封闭式111号理财产品】</w:t>
            </w:r>
          </w:p>
        </w:tc>
      </w:tr>
      <w:tr w14:paraId="67C2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DD5E7C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09" w:type="pct"/>
            <w:vAlign w:val="center"/>
          </w:tcPr>
          <w:p w14:paraId="7BA9F0F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【Z7002625002811</w:t>
            </w:r>
            <w:r>
              <w:rPr>
                <w:rFonts w:ascii="楷体_GB2312" w:eastAsia="楷体_GB2312"/>
                <w:color w:val="000000" w:themeColor="text1"/>
                <w:sz w:val="20"/>
                <w:szCs w:val="20"/>
                <w14:textFill>
                  <w14:solidFill>
                    <w14:schemeClr w14:val="tx1"/>
                  </w14:solidFill>
                </w14:textFill>
              </w:rPr>
              <w:t>】</w:t>
            </w:r>
          </w:p>
        </w:tc>
      </w:tr>
      <w:tr w14:paraId="296A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37D70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09" w:type="pct"/>
            <w:vAlign w:val="center"/>
          </w:tcPr>
          <w:p w14:paraId="66D91F5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【AF252167</w:t>
            </w:r>
            <w:r>
              <w:rPr>
                <w:rFonts w:ascii="楷体_GB2312" w:eastAsia="楷体_GB2312" w:cs="楷体_GB2312"/>
                <w:color w:val="000000" w:themeColor="text1"/>
                <w:sz w:val="20"/>
                <w:szCs w:val="20"/>
                <w14:textFill>
                  <w14:solidFill>
                    <w14:schemeClr w14:val="tx1"/>
                  </w14:solidFill>
                </w14:textFill>
              </w:rPr>
              <w:t>】</w:t>
            </w:r>
          </w:p>
        </w:tc>
      </w:tr>
      <w:tr w14:paraId="0BBA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0894C4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09" w:type="pct"/>
            <w:vAlign w:val="center"/>
          </w:tcPr>
          <w:p w14:paraId="33D6B887">
            <w:pPr>
              <w:spacing w:line="300" w:lineRule="exact"/>
              <w:ind w:left="-2" w:leftChars="-1" w:right="36" w:rightChars="15"/>
            </w:pPr>
            <w:r>
              <w:rPr>
                <w:rFonts w:hint="eastAsia" w:ascii="楷体_GB2312" w:eastAsia="楷体_GB2312" w:cs="楷体_GB2312"/>
                <w:color w:val="000000" w:themeColor="text1"/>
                <w:sz w:val="20"/>
                <w:szCs w:val="20"/>
                <w14:textFill>
                  <w14:solidFill>
                    <w14:schemeClr w14:val="tx1"/>
                  </w14:solidFill>
                </w14:textFill>
              </w:rPr>
              <w:t>公募、【固定收益类】、封闭式</w:t>
            </w:r>
          </w:p>
        </w:tc>
      </w:tr>
      <w:tr w14:paraId="1D47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23E74D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09" w:type="pct"/>
            <w:vAlign w:val="center"/>
          </w:tcPr>
          <w:p w14:paraId="7ED2EA72">
            <w:pPr>
              <w:spacing w:line="300" w:lineRule="exact"/>
              <w:ind w:left="-2" w:leftChars="-1" w:right="36" w:rightChars="15"/>
              <w:rPr>
                <w:rFonts w:ascii="楷体_GB2312" w:eastAsia="楷体_GB2312" w:cs="楷体_GB2312"/>
                <w:color w:val="00000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1</w:t>
            </w:r>
            <w:r>
              <w:rPr>
                <w:rFonts w:hint="eastAsia" w:ascii="楷体_GB2312" w:eastAsia="楷体_GB2312" w:cs="楷体_GB2312"/>
                <w:sz w:val="20"/>
                <w:szCs w:val="20"/>
              </w:rPr>
              <w:t>】级（【谨慎】</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color w:val="000000"/>
                <w:sz w:val="20"/>
                <w:szCs w:val="20"/>
              </w:rPr>
              <w:t>理财</w:t>
            </w:r>
            <w:r>
              <w:rPr>
                <w:rFonts w:ascii="楷体_GB2312" w:eastAsia="楷体_GB2312" w:cs="楷体_GB2312"/>
                <w:color w:val="000000"/>
                <w:sz w:val="20"/>
                <w:szCs w:val="20"/>
              </w:rPr>
              <w:t>产品通过代销机构销售的，代销机构将</w:t>
            </w:r>
            <w:r>
              <w:rPr>
                <w:rFonts w:hint="eastAsia" w:ascii="楷体_GB2312" w:eastAsia="楷体_GB2312" w:cs="楷体_GB2312"/>
                <w:color w:val="000000"/>
                <w:sz w:val="20"/>
                <w:szCs w:val="20"/>
              </w:rPr>
              <w:t>对</w:t>
            </w:r>
            <w:r>
              <w:rPr>
                <w:rFonts w:ascii="楷体_GB2312" w:eastAsia="楷体_GB2312" w:cs="楷体_GB2312"/>
                <w:color w:val="000000"/>
                <w:sz w:val="20"/>
                <w:szCs w:val="20"/>
              </w:rPr>
              <w:t>理财产品进行风险评级</w:t>
            </w:r>
            <w:r>
              <w:rPr>
                <w:rFonts w:hint="eastAsia" w:ascii="楷体_GB2312" w:eastAsia="楷体_GB2312" w:cs="楷体_GB2312"/>
                <w:color w:val="000000"/>
                <w:sz w:val="20"/>
                <w:szCs w:val="20"/>
              </w:rPr>
              <w:t>并</w:t>
            </w:r>
            <w:r>
              <w:rPr>
                <w:rFonts w:ascii="楷体_GB2312" w:eastAsia="楷体_GB2312" w:cs="楷体_GB2312"/>
                <w:color w:val="000000"/>
                <w:sz w:val="20"/>
                <w:szCs w:val="20"/>
              </w:rPr>
              <w:t>对投资者进行风险</w:t>
            </w:r>
            <w:r>
              <w:rPr>
                <w:rFonts w:hint="eastAsia" w:ascii="楷体_GB2312" w:eastAsia="楷体_GB2312" w:cs="楷体_GB2312"/>
                <w:color w:val="000000"/>
                <w:sz w:val="20"/>
                <w:szCs w:val="20"/>
              </w:rPr>
              <w:t>承受</w:t>
            </w:r>
            <w:r>
              <w:rPr>
                <w:rFonts w:ascii="楷体_GB2312" w:eastAsia="楷体_GB2312" w:cs="楷体_GB2312"/>
                <w:color w:val="000000"/>
                <w:sz w:val="20"/>
                <w:szCs w:val="20"/>
              </w:rPr>
              <w:t>能力测评</w:t>
            </w:r>
            <w:r>
              <w:rPr>
                <w:rFonts w:hint="eastAsia" w:ascii="楷体_GB2312" w:eastAsia="楷体_GB2312" w:cs="楷体_GB2312"/>
                <w:color w:val="000000"/>
                <w:sz w:val="20"/>
                <w:szCs w:val="20"/>
              </w:rPr>
              <w:t>，</w:t>
            </w:r>
            <w:r>
              <w:rPr>
                <w:rFonts w:hint="eastAsia" w:ascii="楷体_GB2312" w:eastAsia="楷体_GB2312" w:cs="楷体_GB2312"/>
                <w:b/>
                <w:color w:val="000000"/>
                <w:sz w:val="20"/>
                <w:szCs w:val="20"/>
              </w:rPr>
              <w:t>理财产品评级应当以代销机构最终披露的评级结果为准</w:t>
            </w:r>
            <w:r>
              <w:rPr>
                <w:rFonts w:ascii="楷体_GB2312" w:eastAsia="楷体_GB2312" w:cs="楷体_GB2312"/>
                <w:color w:val="000000"/>
                <w:sz w:val="20"/>
                <w:szCs w:val="20"/>
              </w:rPr>
              <w:t>。</w:t>
            </w:r>
            <w:r>
              <w:rPr>
                <w:rFonts w:hint="eastAsia" w:ascii="楷体_GB2312" w:eastAsia="楷体_GB2312" w:cs="楷体_GB2312"/>
                <w:color w:val="000000"/>
                <w:sz w:val="20"/>
                <w:szCs w:val="20"/>
              </w:rPr>
              <w:t>代销</w:t>
            </w:r>
            <w:r>
              <w:rPr>
                <w:rFonts w:ascii="楷体_GB2312" w:eastAsia="楷体_GB2312" w:cs="楷体_GB2312"/>
                <w:color w:val="000000"/>
                <w:sz w:val="20"/>
                <w:szCs w:val="20"/>
              </w:rPr>
              <w:t>机构对</w:t>
            </w:r>
            <w:r>
              <w:rPr>
                <w:rFonts w:hint="eastAsia" w:ascii="楷体_GB2312" w:eastAsia="楷体_GB2312" w:cs="楷体_GB2312"/>
                <w:color w:val="000000"/>
                <w:sz w:val="20"/>
                <w:szCs w:val="20"/>
              </w:rPr>
              <w:t>产品的</w:t>
            </w:r>
            <w:r>
              <w:rPr>
                <w:rFonts w:ascii="楷体_GB2312" w:eastAsia="楷体_GB2312" w:cs="楷体_GB2312"/>
                <w:color w:val="000000"/>
                <w:sz w:val="20"/>
                <w:szCs w:val="20"/>
              </w:rPr>
              <w:t>风险</w:t>
            </w:r>
            <w:r>
              <w:rPr>
                <w:rFonts w:hint="eastAsia" w:ascii="楷体_GB2312" w:eastAsia="楷体_GB2312" w:cs="楷体_GB2312"/>
                <w:color w:val="000000"/>
                <w:sz w:val="20"/>
                <w:szCs w:val="20"/>
              </w:rPr>
              <w:t>评级</w:t>
            </w:r>
            <w:r>
              <w:rPr>
                <w:rFonts w:ascii="楷体_GB2312" w:eastAsia="楷体_GB2312" w:cs="楷体_GB2312"/>
                <w:color w:val="000000"/>
                <w:sz w:val="20"/>
                <w:szCs w:val="20"/>
              </w:rPr>
              <w:t>结果与信银理财不一致的，将采用对应较高风险</w:t>
            </w:r>
            <w:r>
              <w:rPr>
                <w:rFonts w:hint="eastAsia" w:ascii="楷体_GB2312" w:eastAsia="楷体_GB2312" w:cs="楷体_GB2312"/>
                <w:color w:val="000000"/>
                <w:sz w:val="20"/>
                <w:szCs w:val="20"/>
              </w:rPr>
              <w:t>等级</w:t>
            </w:r>
            <w:r>
              <w:rPr>
                <w:rFonts w:ascii="楷体_GB2312" w:eastAsia="楷体_GB2312" w:cs="楷体_GB2312"/>
                <w:color w:val="000000"/>
                <w:sz w:val="20"/>
                <w:szCs w:val="20"/>
              </w:rPr>
              <w:t>的评级结果。</w:t>
            </w:r>
          </w:p>
        </w:tc>
      </w:tr>
      <w:tr w14:paraId="4B7B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FAA7E0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09" w:type="pct"/>
            <w:vAlign w:val="center"/>
          </w:tcPr>
          <w:p w14:paraId="136D36A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适合</w:t>
            </w:r>
            <w:r>
              <w:rPr>
                <w:rFonts w:hint="eastAsia" w:ascii="楷体_GB2312" w:eastAsia="楷体_GB2312" w:cs="Times New Roman"/>
                <w:sz w:val="20"/>
                <w:szCs w:val="20"/>
              </w:rPr>
              <w:t>【谨慎型】、【稳健型】、【平衡型】、【进取型】、【激进型】</w:t>
            </w:r>
            <w:r>
              <w:rPr>
                <w:rFonts w:hint="eastAsia" w:ascii="楷体_GB2312" w:eastAsia="楷体_GB2312" w:cs="楷体_GB2312"/>
                <w:color w:val="000000"/>
                <w:sz w:val="20"/>
                <w:szCs w:val="20"/>
              </w:rPr>
              <w:t>投资者。</w:t>
            </w:r>
            <w:r>
              <w:rPr>
                <w:rFonts w:hint="eastAsia" w:ascii="楷体_GB2312" w:eastAsia="楷体_GB2312" w:cs="楷体_GB2312"/>
                <w:sz w:val="20"/>
                <w:szCs w:val="20"/>
              </w:rPr>
              <w:t>代销机构对产品的发行对象与信银理财不一致的，以代销机构为准</w:t>
            </w:r>
            <w:r>
              <w:rPr>
                <w:rFonts w:hint="eastAsia" w:ascii="楷体_GB2312" w:eastAsia="楷体_GB2312" w:cs="楷体_GB2312"/>
                <w:b w:val="0"/>
                <w:bCs w:val="0"/>
                <w:sz w:val="20"/>
                <w:szCs w:val="20"/>
                <w:lang w:eastAsia="zh-CN"/>
              </w:rPr>
              <w:t>，</w:t>
            </w:r>
            <w:r>
              <w:rPr>
                <w:rFonts w:hint="eastAsia" w:ascii="楷体_GB2312" w:eastAsia="楷体_GB2312" w:cs="楷体_GB2312"/>
                <w:b w:val="0"/>
                <w:bCs w:val="0"/>
                <w:sz w:val="20"/>
                <w:szCs w:val="20"/>
                <w:lang w:val="en-US" w:eastAsia="zh-CN"/>
              </w:rPr>
              <w:t>但不得超出上述发行对象范围</w:t>
            </w:r>
            <w:r>
              <w:rPr>
                <w:rFonts w:hint="eastAsia" w:ascii="楷体_GB2312" w:eastAsia="楷体_GB2312" w:cs="楷体_GB2312"/>
                <w:b w:val="0"/>
                <w:bCs w:val="0"/>
                <w:sz w:val="20"/>
                <w:szCs w:val="20"/>
              </w:rPr>
              <w:t>。</w:t>
            </w:r>
          </w:p>
        </w:tc>
      </w:tr>
      <w:tr w14:paraId="2F49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26F8B5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09" w:type="pct"/>
            <w:vAlign w:val="center"/>
          </w:tcPr>
          <w:p w14:paraId="7B38D78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77CA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AF1123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09" w:type="pct"/>
            <w:vAlign w:val="center"/>
          </w:tcPr>
          <w:p w14:paraId="74EAD76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销售合同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73D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E2C0F9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09" w:type="pct"/>
            <w:vAlign w:val="center"/>
          </w:tcPr>
          <w:p w14:paraId="547247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5B2F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41C447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09" w:type="pct"/>
            <w:vAlign w:val="center"/>
          </w:tcPr>
          <w:p w14:paraId="0F8D0FF3">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【A】类份额：份额代码【AF252167A】</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【C】类份额：份额代码【AF252167C】</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【D】类份额：份额代码【AF252167D】</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【H】类份额：份额代码【AF252167H】</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【M】类份额：份额代码【AF252167M】</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【N】类份额：份额代码【AF252167N】</w:t>
            </w:r>
          </w:p>
          <w:p w14:paraId="585FCAC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14:paraId="66B5979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89387C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09" w:type="pct"/>
            <w:vAlign w:val="center"/>
          </w:tcPr>
          <w:p w14:paraId="078AC59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3CEC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F14243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09" w:type="pct"/>
            <w:vAlign w:val="center"/>
          </w:tcPr>
          <w:p w14:paraId="33B6B195">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【2026】年【1】月【19】日至【2026】年【1】月【22】日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可以</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7908389D">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24B8A1F">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AB6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CD3BBF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09" w:type="pct"/>
            <w:vAlign w:val="center"/>
          </w:tcPr>
          <w:p w14:paraId="2D30CB6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Times New Roman"/>
                <w:color w:val="000000" w:themeColor="text1"/>
                <w:sz w:val="20"/>
                <w:szCs w:val="20"/>
                <w14:textFill>
                  <w14:solidFill>
                    <w14:schemeClr w14:val="tx1"/>
                  </w14:solidFill>
                </w14:textFill>
              </w:rPr>
              <w:t>【2026】年【1】月【23】日</w:t>
            </w:r>
            <w:r>
              <w:rPr>
                <w:rFonts w:hint="eastAsia" w:ascii="Times New Roman" w:hAnsi="Times New Roman" w:eastAsia="楷体_GB2312" w:cs="Times New Roman"/>
                <w:color w:val="000000" w:themeColor="text1"/>
                <w:sz w:val="20"/>
                <w:szCs w:val="20"/>
                <w14:textFill>
                  <w14:solidFill>
                    <w14:schemeClr w14:val="tx1"/>
                  </w14:solidFill>
                </w14:textFill>
              </w:rPr>
              <w:t>（如管理人调整募集期，则运作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4686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CE1C3E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09" w:type="pct"/>
            <w:vAlign w:val="center"/>
          </w:tcPr>
          <w:p w14:paraId="15383D9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【2026】年【1】月【23】日</w:t>
            </w:r>
            <w:r>
              <w:rPr>
                <w:rFonts w:hint="eastAsia" w:ascii="楷体_GB2312" w:eastAsia="楷体_GB2312" w:cs="楷体_GB2312"/>
                <w:color w:val="000000" w:themeColor="text1"/>
                <w:sz w:val="20"/>
                <w:szCs w:val="20"/>
                <w14:textFill>
                  <w14:solidFill>
                    <w14:schemeClr w14:val="tx1"/>
                  </w14:solidFill>
                </w14:textFill>
              </w:rPr>
              <w:t>至【2026】年【2】月【22】日。</w:t>
            </w:r>
          </w:p>
        </w:tc>
      </w:tr>
      <w:tr w14:paraId="6676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649C0C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09" w:type="pct"/>
            <w:vAlign w:val="center"/>
          </w:tcPr>
          <w:p w14:paraId="161A27DB">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【2026】年【4】月【24】日</w:t>
            </w:r>
            <w:r>
              <w:rPr>
                <w:rFonts w:hint="eastAsia" w:ascii="楷体_GB2312" w:eastAsia="楷体_GB2312" w:cs="楷体_GB2312"/>
                <w:color w:val="000000" w:themeColor="text1"/>
                <w:sz w:val="20"/>
                <w:szCs w:val="20"/>
                <w14:textFill>
                  <w14:solidFill>
                    <w14:schemeClr w14:val="tx1"/>
                  </w14:solidFill>
                </w14:textFill>
              </w:rPr>
              <w:t>（受运作</w:t>
            </w:r>
            <w:r>
              <w:rPr>
                <w:rFonts w:ascii="楷体_GB2312" w:eastAsia="楷体_GB2312" w:cs="楷体_GB2312"/>
                <w:color w:val="000000" w:themeColor="text1"/>
                <w:sz w:val="20"/>
                <w:szCs w:val="20"/>
                <w14:textFill>
                  <w14:solidFill>
                    <w14:schemeClr w14:val="tx1"/>
                  </w14:solidFill>
                </w14:textFill>
              </w:rPr>
              <w:t>起始</w:t>
            </w:r>
            <w:r>
              <w:rPr>
                <w:rFonts w:hint="eastAsia" w:ascii="楷体_GB2312" w:eastAsia="楷体_GB2312" w:cs="楷体_GB2312"/>
                <w:color w:val="000000" w:themeColor="text1"/>
                <w:sz w:val="20"/>
                <w:szCs w:val="20"/>
                <w14:textFill>
                  <w14:solidFill>
                    <w14:schemeClr w14:val="tx1"/>
                  </w14:solidFill>
                </w14:textFill>
              </w:rPr>
              <w:t>日、提前终止条款等约束，遇非工作日则顺延至下一工作日）</w:t>
            </w:r>
          </w:p>
        </w:tc>
      </w:tr>
      <w:tr w14:paraId="4411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2DC643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09" w:type="pct"/>
            <w:vAlign w:val="center"/>
          </w:tcPr>
          <w:p w14:paraId="12CF1F5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61B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41DA36E">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09" w:type="pct"/>
            <w:vAlign w:val="center"/>
          </w:tcPr>
          <w:p w14:paraId="2F968686">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【A】类份额：【1.80%-2.10%】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【C】类份额：【1.87%-2.17%】</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【D】类份额：【1.83%-2.13%】</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【M】类份额：【1.73%-2.03%】</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【N】类份额：【1.68%-1.98%】</w:t>
            </w:r>
          </w:p>
          <w:p w14:paraId="121DD7AE">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0618A9FB">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b/>
                <w:bCs/>
                <w:sz w:val="20"/>
                <w:szCs w:val="20"/>
              </w:rPr>
              <w:t>业绩</w:t>
            </w:r>
            <w:r>
              <w:rPr>
                <w:rFonts w:ascii="楷体_GB2312" w:eastAsia="楷体_GB2312" w:cs="楷体_GB2312"/>
                <w:b/>
                <w:bCs/>
                <w:sz w:val="20"/>
                <w:szCs w:val="20"/>
              </w:rPr>
              <w:t>比较基准测算依据：</w:t>
            </w:r>
            <w:r>
              <w:rPr>
                <w:rFonts w:hint="eastAsia" w:ascii="楷体_GB2312" w:eastAsia="楷体_GB2312" w:cs="楷体_GB2312"/>
                <w:b/>
                <w:bCs/>
                <w:sz w:val="20"/>
                <w:szCs w:val="20"/>
              </w:rPr>
              <w:t>【</w:t>
            </w:r>
            <w:r>
              <w:rPr>
                <w:rFonts w:ascii="楷体_GB2312" w:eastAsia="楷体_GB2312" w:cs="楷体_GB2312"/>
                <w:b/>
                <w:bCs/>
                <w:sz w:val="20"/>
                <w:szCs w:val="20"/>
              </w:rPr>
              <w:t>本理财产品为固定收益类产品，主要投向为银行存款、同业存单、同业借款等资产，并结合一定的杠杆操作对组合收益进行增厚。根据当前市场利率水平、组合目标久期、可投资资产的静态收益率、杠杆操作等因素作为测算依据，扣除相关税费成本后，综合得出产品的业绩基准。业绩比较基准是基于产品性质、投资策略、过往经验等因素对产品设定的投资目标。业绩比较基准不是预期收益率，不代表产品的未来表现和实际收益，不构成对产品收益的承诺，投资须谨慎。</w:t>
            </w:r>
            <w:r>
              <w:rPr>
                <w:rFonts w:hint="eastAsia" w:ascii="楷体_GB2312" w:eastAsia="楷体_GB2312" w:cs="楷体_GB2312"/>
                <w:b/>
                <w:bCs/>
                <w:sz w:val="20"/>
                <w:szCs w:val="20"/>
              </w:rPr>
              <w:t>】</w:t>
            </w:r>
          </w:p>
          <w:p w14:paraId="54138B2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A5ED97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09" w:type="pct"/>
            <w:vAlign w:val="center"/>
          </w:tcPr>
          <w:p w14:paraId="447AC58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fldChar w:fldCharType="begin"/>
            </w:r>
            <w:r>
              <w:instrText xml:space="preserve"> HYPERLINK </w:instrText>
            </w:r>
            <w:r>
              <w:fldChar w:fldCharType="separate"/>
            </w:r>
            <w:r>
              <w:fldChar w:fldCharType="end"/>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代销机构购买理财产品的，还应按照代销机构对于交易时间以及交易申请的相关规定执行，但认购交易时间必须在【8：30-17:00</w:t>
            </w:r>
            <w:r>
              <w:rPr>
                <w:rFonts w:hint="eastAsia" w:ascii="楷体_GB2312" w:eastAsia="楷体_GB2312" w:cs="楷体_GB2312"/>
                <w:color w:val="000000" w:themeColor="text1"/>
                <w:sz w:val="20"/>
                <w:szCs w:val="20"/>
                <w14:textFill>
                  <w14:solidFill>
                    <w14:schemeClr w14:val="tx1"/>
                  </w14:solidFill>
                </w14:textFill>
              </w:rPr>
              <w:t>】内</w:t>
            </w:r>
            <w:r>
              <w:rPr>
                <w:rFonts w:ascii="楷体_GB2312" w:eastAsia="楷体_GB2312" w:cs="楷体_GB2312"/>
                <w:color w:val="000000" w:themeColor="text1"/>
                <w:sz w:val="20"/>
                <w:szCs w:val="20"/>
                <w14:textFill>
                  <w14:solidFill>
                    <w14:schemeClr w14:val="tx1"/>
                  </w14:solidFill>
                </w14:textFill>
              </w:rPr>
              <w:t>。</w:t>
            </w:r>
          </w:p>
        </w:tc>
      </w:tr>
      <w:tr w14:paraId="67DF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E6416A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09" w:type="pct"/>
            <w:vAlign w:val="center"/>
          </w:tcPr>
          <w:p w14:paraId="20E44042">
            <w:pPr>
              <w:pStyle w:val="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tc>
      </w:tr>
      <w:tr w14:paraId="1100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E6A03B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09" w:type="pct"/>
            <w:vAlign w:val="center"/>
          </w:tcPr>
          <w:p w14:paraId="15B787E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03DB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73008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09" w:type="pct"/>
            <w:vAlign w:val="center"/>
          </w:tcPr>
          <w:p w14:paraId="6C37B9B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p>
        </w:tc>
      </w:tr>
      <w:tr w14:paraId="0BC63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C09B96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认购起点</w:t>
            </w:r>
          </w:p>
        </w:tc>
        <w:tc>
          <w:tcPr>
            <w:tcW w:w="3709" w:type="pct"/>
            <w:vAlign w:val="center"/>
          </w:tcPr>
          <w:p w14:paraId="0B62AA2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【A】类份额初始认购金额不低于【人民币】【1】元，以【人民币】【0.01】元的整数倍增加。追加认购金额不低于【人民币】【0.01】元，以【人民币】【0.01】元的整数倍增加。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【C】类份额初始认购金额不低于【人民币】【40】万元，以【人民币】【0.01】元的整数倍增加。追加认购金额不低于【人民币】【0.01】元，以【人民币】【0.01】元的整数倍增加。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【D】类份额初始认购金额不低于【人民币】【100】万元，以【人民币】【0.01】元的整数倍增加。追加认购金额不低于【人民币】【0.01】元，以【人民币】【0.01】元的整数倍增加。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代销机构对产品的认购起点及追加认购金额的要求与信银理财不一致的，以代销机构为准，但不得低于上述对应金额。</w:t>
            </w:r>
          </w:p>
        </w:tc>
      </w:tr>
      <w:tr w14:paraId="1F4C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200" w:type="dxa"/>
            <w:vAlign w:val="center"/>
          </w:tcPr>
          <w:p w14:paraId="0FC931AC">
            <w:pPr>
              <w:spacing w:line="300" w:lineRule="exact"/>
              <w:ind w:left="-2" w:leftChars="-1" w:right="36" w:rightChars="15"/>
              <w:rPr>
                <w:rFonts w:hint="eastAsia" w:ascii="Times New Roman" w:eastAsia="楷体_GB2312" w:cs="楷体_GB2312"/>
                <w:color w:val="000000" w:themeColor="text1"/>
                <w:sz w:val="20"/>
                <w:szCs w:val="20"/>
                <w14:textFill>
                  <w14:solidFill>
                    <w14:schemeClr w14:val="tx1"/>
                  </w14:solidFill>
                </w14:textFill>
              </w:rPr>
            </w:pPr>
            <w:bookmarkStart w:id="1" w:name="_GoBack" w:colFirst="0" w:colLast="1"/>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投资者持仓上限</w:t>
            </w:r>
          </w:p>
        </w:tc>
        <w:tc>
          <w:tcPr>
            <w:tcW w:w="6328" w:type="dxa"/>
            <w:vAlign w:val="center"/>
          </w:tcPr>
          <w:p w14:paraId="250C5A8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hint="eastAsia" w:ascii="楷体_GB2312" w:eastAsia="楷体_GB2312" w:cs="楷体_GB2312"/>
                <w:sz w:val="20"/>
                <w:szCs w:val="20"/>
                <w:lang w:val="en-US" w:eastAsia="zh-CN"/>
              </w:rPr>
              <w:t>C</w:t>
            </w:r>
            <w:r>
              <w:rPr>
                <w:rFonts w:hint="eastAsia" w:ascii="楷体_GB2312" w:eastAsia="楷体_GB2312" w:cs="楷体_GB2312"/>
                <w:sz w:val="20"/>
                <w:szCs w:val="20"/>
              </w:rPr>
              <w:t>】类份额</w:t>
            </w:r>
            <w:r>
              <w:rPr>
                <w:rFonts w:hint="eastAsia" w:ascii="楷体_GB2312" w:eastAsia="楷体_GB2312" w:cs="楷体_GB2312"/>
                <w:color w:val="000000" w:themeColor="text1"/>
                <w:sz w:val="20"/>
                <w:szCs w:val="20"/>
                <w14:textFill>
                  <w14:solidFill>
                    <w14:schemeClr w14:val="tx1"/>
                  </w14:solidFill>
                </w14:textFill>
              </w:rPr>
              <w:t>单个投资者持仓金额上限为【人民币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亿</w:t>
            </w:r>
            <w:r>
              <w:rPr>
                <w:rFonts w:hint="eastAsia" w:ascii="楷体_GB2312" w:eastAsia="楷体_GB2312" w:cs="楷体_GB2312"/>
                <w:color w:val="000000" w:themeColor="text1"/>
                <w:sz w:val="20"/>
                <w:szCs w:val="20"/>
                <w14:textFill>
                  <w14:solidFill>
                    <w14:schemeClr w14:val="tx1"/>
                  </w14:solidFill>
                </w14:textFill>
              </w:rPr>
              <w:t>元</w:t>
            </w:r>
            <w:r>
              <w:rPr>
                <w:rFonts w:ascii="楷体_GB2312" w:eastAsia="楷体_GB2312" w:cs="楷体_GB2312"/>
                <w:color w:val="000000" w:themeColor="text1"/>
                <w:sz w:val="20"/>
                <w:szCs w:val="20"/>
                <w14:textFill>
                  <w14:solidFill>
                    <w14:schemeClr w14:val="tx1"/>
                  </w14:solidFill>
                </w14:textFill>
              </w:rPr>
              <w:t>，</w:t>
            </w:r>
          </w:p>
          <w:p w14:paraId="2911711D">
            <w:pPr>
              <w:spacing w:line="300" w:lineRule="exact"/>
              <w:ind w:left="-2" w:leftChars="-1" w:right="36" w:rightChars="15"/>
              <w:rPr>
                <w:rFonts w:hint="eastAsia"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有权根据实际需要对此金额上限进行调整。</w:t>
            </w:r>
          </w:p>
        </w:tc>
      </w:tr>
      <w:bookmarkEnd w:id="1"/>
      <w:tr w14:paraId="514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C33B0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09" w:type="pct"/>
            <w:vAlign w:val="center"/>
          </w:tcPr>
          <w:p w14:paraId="752664D1">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w:t>
            </w:r>
            <w:r>
              <w:rPr>
                <w:rFonts w:ascii="楷体_GB2312" w:eastAsia="楷体_GB2312" w:cs="楷体_GB2312"/>
                <w:color w:val="000000" w:themeColor="text1"/>
                <w:sz w:val="20"/>
                <w:szCs w:val="20"/>
                <w14:textFill>
                  <w14:solidFill>
                    <w14:schemeClr w14:val="tx1"/>
                  </w14:solidFill>
                </w14:textFill>
              </w:rPr>
              <w:t>单一投资者持有份额</w:t>
            </w: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261B67A2">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可以</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。但产品不得</w:t>
            </w:r>
            <w:r>
              <w:rPr>
                <w:rFonts w:ascii="楷体_GB2312" w:eastAsia="楷体_GB2312" w:cs="楷体_GB2312"/>
                <w:color w:val="000000" w:themeColor="text1"/>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p>
        </w:tc>
      </w:tr>
      <w:tr w14:paraId="0048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328F217">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09" w:type="pct"/>
            <w:vAlign w:val="center"/>
          </w:tcPr>
          <w:p w14:paraId="3028C13D">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143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8AA2B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09" w:type="pct"/>
            <w:vAlign w:val="center"/>
          </w:tcPr>
          <w:p w14:paraId="45DF7300">
            <w:pPr>
              <w:spacing w:line="300" w:lineRule="exact"/>
              <w:ind w:right="29" w:rightChars="12"/>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单位净值为单位产品份额的净值，该净值为扣除相关税费（相关税费包含固定管理费、</w:t>
            </w:r>
            <w:r>
              <w:rPr>
                <w:rFonts w:ascii="楷体_GB2312" w:eastAsia="楷体_GB2312" w:cs="楷体_GB2312"/>
                <w:color w:val="000000" w:themeColor="text1"/>
                <w:sz w:val="20"/>
                <w:szCs w:val="20"/>
                <w14:textFill>
                  <w14:solidFill>
                    <w14:schemeClr w14:val="tx1"/>
                  </w14:solidFill>
                </w14:textFill>
              </w:rPr>
              <w:t>浮动管理费</w:t>
            </w:r>
            <w:r>
              <w:rPr>
                <w:rFonts w:hint="eastAsia" w:ascii="楷体_GB2312" w:eastAsia="楷体_GB2312" w:cs="楷体_GB2312"/>
                <w:color w:val="000000" w:themeColor="text1"/>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本产品到期后，管理人将在到期日后【5】个工作日内披露产品</w:t>
            </w:r>
            <w:r>
              <w:rPr>
                <w:rFonts w:ascii="楷体_GB2312" w:eastAsia="楷体_GB2312" w:cs="楷体_GB2312"/>
                <w:color w:val="000000" w:themeColor="text1"/>
                <w:sz w:val="20"/>
                <w:szCs w:val="20"/>
                <w14:textFill>
                  <w14:solidFill>
                    <w14:schemeClr w14:val="tx1"/>
                  </w14:solidFill>
                </w14:textFill>
              </w:rPr>
              <w:t>份额</w:t>
            </w:r>
            <w:r>
              <w:rPr>
                <w:rFonts w:hint="eastAsia" w:ascii="楷体_GB2312" w:eastAsia="楷体_GB2312" w:cs="楷体_GB2312"/>
                <w:color w:val="000000" w:themeColor="text1"/>
                <w:sz w:val="20"/>
                <w:szCs w:val="20"/>
                <w14:textFill>
                  <w14:solidFill>
                    <w14:schemeClr w14:val="tx1"/>
                  </w14:solidFill>
                </w14:textFill>
              </w:rPr>
              <w:t>最终单位净值。</w:t>
            </w:r>
          </w:p>
        </w:tc>
      </w:tr>
      <w:tr w14:paraId="4E76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EDA1EB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09" w:type="pct"/>
            <w:vAlign w:val="center"/>
          </w:tcPr>
          <w:p w14:paraId="5E90A1A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理财产品通过代销机构销售的，投资者可通过代销机构规定的渠道认购。</w:t>
            </w:r>
          </w:p>
          <w:p w14:paraId="08BBF135">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93CECD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09" w:type="pct"/>
            <w:vAlign w:val="center"/>
          </w:tcPr>
          <w:p w14:paraId="44C81E1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4E6B4A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09" w:type="pct"/>
            <w:vAlign w:val="center"/>
          </w:tcPr>
          <w:p w14:paraId="0DC1962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hint="eastAsia" w:ascii="楷体_GB2312" w:eastAsia="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b/>
                <w:sz w:val="20"/>
                <w:szCs w:val="20"/>
                <w:lang w:eastAsia="zh-CN"/>
              </w:rPr>
              <w:t>；</w:t>
            </w:r>
          </w:p>
          <w:p w14:paraId="62A82753">
            <w:pPr>
              <w:snapToGrid w:val="0"/>
              <w:spacing w:line="300" w:lineRule="exact"/>
              <w:ind w:left="-2" w:leftChars="-1"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2.</w:t>
            </w:r>
            <w:r>
              <w:rPr>
                <w:rFonts w:hint="eastAsia" w:ascii="楷体_GB2312" w:eastAsia="楷体_GB2312" w:cs="楷体_GB2312"/>
                <w:b/>
                <w:sz w:val="20"/>
                <w:szCs w:val="20"/>
              </w:rPr>
              <w:t>销售服务费：【A】类份额费率【0.08%】/年，【C】类份额费率【0.01%】/年，【D】类份额费率【0.05%】/年，【H】类份额费率【0.08%】/年，【M】类份额费率【0.15%】/年，【N】类份额费率【0.20%】/年</w:t>
            </w:r>
            <w:r>
              <w:rPr>
                <w:rFonts w:hint="eastAsia" w:ascii="楷体_GB2312" w:eastAsia="楷体_GB2312" w:cs="楷体_GB2312"/>
                <w:b/>
                <w:sz w:val="20"/>
                <w:szCs w:val="20"/>
                <w:lang w:eastAsia="zh-CN"/>
              </w:rPr>
              <w:t>；</w:t>
            </w:r>
          </w:p>
          <w:p w14:paraId="793AE849">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lang w:eastAsia="zh-CN"/>
              </w:rPr>
              <w:t>；</w:t>
            </w:r>
          </w:p>
          <w:p w14:paraId="0B46EB90">
            <w:pPr>
              <w:snapToGrid w:val="0"/>
              <w:spacing w:line="300" w:lineRule="exact"/>
              <w:ind w:right="96" w:rightChars="40"/>
              <w:outlineLvl w:val="0"/>
              <w:rPr>
                <w:rFonts w:hint="eastAsia" w:ascii="楷体_GB2312" w:eastAsia="楷体_GB2312" w:cs="楷体_GB2312"/>
                <w:b/>
                <w:sz w:val="20"/>
                <w:szCs w:val="20"/>
                <w:lang w:eastAsia="zh-CN"/>
              </w:rPr>
            </w:pPr>
            <w:r>
              <w:rPr>
                <w:rFonts w:ascii="楷体_GB2312" w:eastAsia="楷体_GB2312" w:cs="楷体_GB2312"/>
                <w:b/>
                <w:sz w:val="20"/>
                <w:szCs w:val="20"/>
              </w:rPr>
              <w:t>4.</w:t>
            </w:r>
            <w:r>
              <w:rPr>
                <w:rFonts w:hint="eastAsia" w:ascii="楷体_GB2312" w:eastAsia="楷体_GB2312" w:cs="楷体_GB2312"/>
                <w:b/>
                <w:sz w:val="20"/>
                <w:szCs w:val="20"/>
              </w:rPr>
              <w:t>固定管理费：费率【0.08%</w:t>
            </w:r>
            <w:r>
              <w:rPr>
                <w:rFonts w:ascii="楷体_GB2312" w:eastAsia="楷体_GB2312" w:cs="楷体_GB2312"/>
                <w:b/>
                <w:sz w:val="20"/>
                <w:szCs w:val="20"/>
              </w:rPr>
              <w:t>】/年</w:t>
            </w:r>
            <w:r>
              <w:rPr>
                <w:rFonts w:hint="eastAsia" w:ascii="楷体_GB2312" w:eastAsia="楷体_GB2312" w:cs="楷体_GB2312"/>
                <w:b/>
                <w:sz w:val="20"/>
                <w:szCs w:val="20"/>
                <w:lang w:eastAsia="zh-CN"/>
              </w:rPr>
              <w:t>；</w:t>
            </w:r>
          </w:p>
          <w:p w14:paraId="0005DA40">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rPr>
              <w:t>【A】类份额设立业绩比较基准，在产品到期日或提前终止日时，如计提浮动管理费前年化收益率超过【1.95%】的，管理人将收取超额部分的【50%】作为浮动管理费。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【C】类份额设立业绩比较基准，在产品到期日或提前终止日时，如计提浮动管理费前年化收益率超过【2.02%】的，管理人将收取超额部分的【50%】作为浮动管理费。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【D】类份额设立业绩比较基准，在产品到期日或提前终止日时，如计提浮动管理费前年化收益率超过【1.98%】的，管理人将收取超额部分的【50%】作为浮动管理费。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【H】类份额设立业绩比较基准，在产品到期日或提前终止日时，如计提浮动管理费前年化收益率超过【1.95%】的，管理人将收取超额部分的【50%】作为浮动管理费。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【M】类份额设立业绩比较基准，在产品到期日或提前终止日时，如计提浮动管理费前年化收益率超过【1.88%】的，管理人将收取超额部分的【50%】作为浮动管理费。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【N】类份额设立业绩比较基准，在产品到期日或提前终止日时，如计提浮动管理费前年化收益率超过【1.83%】的，管理人将收取超额部分的【50%】作为浮动管理费。</w:t>
            </w:r>
          </w:p>
          <w:p w14:paraId="2FBF8D6D">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八、理财产品的费用</w:t>
            </w:r>
            <w:r>
              <w:rPr>
                <w:rFonts w:ascii="楷体_GB2312" w:eastAsia="楷体_GB2312" w:cs="楷体_GB2312"/>
                <w:b/>
                <w:color w:val="000000" w:themeColor="text1"/>
                <w:sz w:val="20"/>
                <w:szCs w:val="20"/>
                <w14:textFill>
                  <w14:solidFill>
                    <w14:schemeClr w14:val="tx1"/>
                  </w14:solidFill>
                </w14:textFill>
              </w:rPr>
              <w:t>”部分。</w:t>
            </w:r>
          </w:p>
          <w:p w14:paraId="00B37122">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B3199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09" w:type="pct"/>
            <w:vAlign w:val="center"/>
          </w:tcPr>
          <w:p w14:paraId="553C9FF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企业名称：【信银理财有限责任公司】</w:t>
            </w:r>
            <w:r>
              <w:rPr>
                <w:rFonts w:hint="eastAsia" w:ascii="楷体_GB2312" w:eastAsia="楷体_GB2312" w:cs="楷体_GB2312"/>
                <w:sz w:val="20"/>
                <w:szCs w:val="20"/>
              </w:rPr>
              <w:br w:type="textWrapping"/>
            </w:r>
            <w:r>
              <w:rPr>
                <w:rFonts w:hint="eastAsia" w:ascii="楷体_GB2312" w:eastAsia="楷体_GB2312" w:cs="楷体_GB2312"/>
                <w:sz w:val="20"/>
                <w:szCs w:val="20"/>
              </w:rPr>
              <w:t>住所：【上海市黄浦区中山东二路600号1幢35层、36层】</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客户服务热线：【950950】</w:t>
            </w:r>
          </w:p>
        </w:tc>
      </w:tr>
      <w:tr w14:paraId="68AD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9A16B1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09" w:type="pct"/>
            <w:vAlign w:val="center"/>
          </w:tcPr>
          <w:p w14:paraId="0CE896E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【A】类份额（份额代码【AF252167A】）合作销售机构信息：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【C】类份额（份额代码【AF252167C】）合作销售机构信息：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【D】类份额（份额代码【AF252167D】）合作销售机构信息：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【H】类份额（份额代码【AF252167H】）合作销售机构信息：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1.企业名称：【江苏沛县农村商业银行股份有限公司】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统一社会信用代码：【91320300069480065H】</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住所：【江苏省沛县汤沐路中段11号】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2.企业名称：【江苏睢宁农村商业银行股份有限公司】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统一社会信用代码：【91320300060175275T】</w:t>
            </w:r>
            <w:r>
              <w:rPr>
                <w:rFonts w:hint="eastAsia" w:ascii="楷体_GB2312" w:eastAsia="楷体_GB2312" w:cs="楷体_GB2312"/>
                <w:sz w:val="20"/>
                <w:szCs w:val="20"/>
              </w:rPr>
              <w:br w:type="textWrapping"/>
            </w:r>
            <w:r>
              <w:rPr>
                <w:rFonts w:hint="eastAsia" w:ascii="楷体_GB2312" w:eastAsia="楷体_GB2312" w:cs="楷体_GB2312"/>
                <w:sz w:val="20"/>
                <w:szCs w:val="20"/>
              </w:rPr>
              <w:t>住所：【睢宁县元府东街99号】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3.企业名称：【江苏丰县农村商业银行股份有限公司】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统一社会信用代码：【9132030006189225X5】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住所：【江苏省丰县人民中路9号】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4.企业名称：【江苏如东农村商业银行股份有限公司】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统一社会信用代码：【91320600050214904J】</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住所：【江苏省如东县掘港镇钟山路66号】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5.企业名称：【江苏响水农村商业银行股份有限公司】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统一社会信用代码：【91320900703856446L】</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住所：【江苏省盐城市响水县双园路84号】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6.企业名称：【江苏滨海农村商业银行股份有限公司】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统一社会信用代码：【91320900140423101A】</w:t>
            </w:r>
            <w:r>
              <w:rPr>
                <w:rFonts w:hint="eastAsia" w:ascii="楷体_GB2312" w:eastAsia="楷体_GB2312" w:cs="楷体_GB2312"/>
                <w:sz w:val="20"/>
                <w:szCs w:val="20"/>
              </w:rPr>
              <w:br w:type="textWrapping"/>
            </w:r>
            <w:r>
              <w:rPr>
                <w:rFonts w:hint="eastAsia" w:ascii="楷体_GB2312" w:eastAsia="楷体_GB2312" w:cs="楷体_GB2312"/>
                <w:sz w:val="20"/>
                <w:szCs w:val="20"/>
              </w:rPr>
              <w:t>住所：【滨海县城迎宾中路1号】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7.企业名称：【江苏大丰农村商业银行股份有限公司】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统一社会信用代码：【91320900782094063W】</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住所：【江苏省盐城市大丰区常新中路9号】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8.企业名称：【江苏仪征农村商业银行股份有限公司】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统一社会信用代码：【913210001419798305】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住所：【江苏省仪征市真州镇解放东路 818 号金融集聚区 1 座 801811，901-911，1001-1011，2 座 101】</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9.企业名称：【江苏高邮农村商业银行股份有限公司】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统一社会信用代码：【9132100014098606XG】</w:t>
            </w:r>
            <w:r>
              <w:rPr>
                <w:rFonts w:hint="eastAsia" w:ascii="楷体_GB2312" w:eastAsia="楷体_GB2312" w:cs="楷体_GB2312"/>
                <w:sz w:val="20"/>
                <w:szCs w:val="20"/>
              </w:rPr>
              <w:br w:type="textWrapping"/>
            </w:r>
            <w:r>
              <w:rPr>
                <w:rFonts w:hint="eastAsia" w:ascii="楷体_GB2312" w:eastAsia="楷体_GB2312" w:cs="楷体_GB2312"/>
                <w:sz w:val="20"/>
                <w:szCs w:val="20"/>
              </w:rPr>
              <w:t>住所：【高邮市文游中路28号】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10.企业名称：【江苏镇江农村商业银行股份有限公司】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统一社会信用代码：【913211005691909538】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住所：【江苏省镇江市润州区长江路97号】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11.企业名称：【江苏句容农村商业银行股份有限公司】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统一社会信用代码：【91321100576724933U】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住所：【江苏省句容市福地东路66号】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12.企业名称：【江苏扬中农村商业银行股份有限公司】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统一社会信用代码：【91321100591145817W】</w:t>
            </w:r>
            <w:r>
              <w:rPr>
                <w:rFonts w:hint="eastAsia" w:ascii="楷体_GB2312" w:eastAsia="楷体_GB2312" w:cs="楷体_GB2312"/>
                <w:sz w:val="20"/>
                <w:szCs w:val="20"/>
              </w:rPr>
              <w:br w:type="textWrapping"/>
            </w:r>
            <w:r>
              <w:rPr>
                <w:rFonts w:hint="eastAsia" w:ascii="楷体_GB2312" w:eastAsia="楷体_GB2312" w:cs="楷体_GB2312"/>
                <w:sz w:val="20"/>
                <w:szCs w:val="20"/>
              </w:rPr>
              <w:t>住所：【扬中市扬子西路79号】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13.企业名称：【江苏靖江农村商业银行股份有限公司】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统一社会信用代码：【913212001411273988】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住所：【江苏省靖江市南环西路12号】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14.企业名称：【江苏姜堰农村商业银行股份有限公司】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统一社会信用代码：【913212001419478711】</w:t>
            </w:r>
            <w:r>
              <w:rPr>
                <w:rFonts w:hint="eastAsia" w:ascii="楷体_GB2312" w:eastAsia="楷体_GB2312" w:cs="楷体_GB2312"/>
                <w:sz w:val="20"/>
                <w:szCs w:val="20"/>
              </w:rPr>
              <w:br w:type="textWrapping"/>
            </w:r>
            <w:r>
              <w:rPr>
                <w:rFonts w:hint="eastAsia" w:ascii="楷体_GB2312" w:eastAsia="楷体_GB2312" w:cs="楷体_GB2312"/>
                <w:sz w:val="20"/>
                <w:szCs w:val="20"/>
              </w:rPr>
              <w:t>住所：【泰州市姜堰区姜堰大道128号】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【M】类份额（份额代码【AF252167M】）合作销售机构信息：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【N】类份额（份额代码【AF252167N】）合作销售机构信息：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2.企业名称：【张家口银行股份有限公司】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统一社会信用代码：【91130000106181065L】</w:t>
            </w:r>
            <w:r>
              <w:rPr>
                <w:rFonts w:hint="eastAsia" w:ascii="楷体_GB2312" w:eastAsia="楷体_GB2312" w:cs="楷体_GB2312"/>
                <w:sz w:val="20"/>
                <w:szCs w:val="20"/>
              </w:rPr>
              <w:br w:type="textWrapping"/>
            </w:r>
            <w:r>
              <w:rPr>
                <w:rFonts w:hint="eastAsia" w:ascii="楷体_GB2312" w:eastAsia="楷体_GB2312" w:cs="楷体_GB2312"/>
                <w:sz w:val="20"/>
                <w:szCs w:val="20"/>
              </w:rPr>
              <w:t>住所：【河北省张家口市桥东区胜利北路51号】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客户服务热线：【400-6896368】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后续合作销售机构如有新增、减少和变更，信银理财将按照本说明书约定的方式告知投资者。</w:t>
            </w:r>
          </w:p>
        </w:tc>
      </w:tr>
      <w:tr w14:paraId="3BF4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E5FB7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09" w:type="pct"/>
            <w:vAlign w:val="center"/>
          </w:tcPr>
          <w:p w14:paraId="0CCB71F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7CDAF1A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4A9AD0E7">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2C74EE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0D71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050542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09" w:type="pct"/>
            <w:vAlign w:val="center"/>
          </w:tcPr>
          <w:p w14:paraId="7881BBF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纳税人识别号：【91110000101690725E】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法定代表人：【方合英】</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p>
        </w:tc>
      </w:tr>
      <w:tr w14:paraId="5735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C8FAB9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09" w:type="pct"/>
            <w:vAlign w:val="center"/>
          </w:tcPr>
          <w:p w14:paraId="361E7CE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783F89AB">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w:t>
            </w:r>
            <w:r>
              <w:rPr>
                <w:rFonts w:ascii="楷体_GB2312" w:eastAsia="楷体_GB2312" w:cs="楷体_GB2312"/>
                <w:color w:val="000000" w:themeColor="text1"/>
                <w:sz w:val="20"/>
                <w:szCs w:val="20"/>
                <w14:textFill>
                  <w14:solidFill>
                    <w14:schemeClr w14:val="tx1"/>
                  </w14:solidFill>
                </w14:textFill>
              </w:rPr>
              <w:t>资产净值</w:t>
            </w:r>
            <w:r>
              <w:rPr>
                <w:rFonts w:hint="eastAsia" w:ascii="楷体_GB2312" w:eastAsia="楷体_GB2312" w:cs="楷体_GB2312"/>
                <w:color w:val="000000" w:themeColor="text1"/>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65054DC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3191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5AE062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09" w:type="pct"/>
            <w:vAlign w:val="center"/>
          </w:tcPr>
          <w:p w14:paraId="382C2B1E">
            <w:pPr>
              <w:spacing w:line="300" w:lineRule="exact"/>
              <w:ind w:right="36" w:rightChars="15" w:firstLine="284" w:firstLineChars="142"/>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CC5387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09" w:type="pct"/>
            <w:vAlign w:val="center"/>
          </w:tcPr>
          <w:p w14:paraId="5031BE54">
            <w:pPr>
              <w:pStyle w:val="19"/>
              <w:spacing w:line="300" w:lineRule="exact"/>
              <w:ind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C9168B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09" w:type="pct"/>
            <w:vAlign w:val="center"/>
          </w:tcPr>
          <w:p w14:paraId="28841A80">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7660C9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09" w:type="pct"/>
            <w:vAlign w:val="center"/>
          </w:tcPr>
          <w:p w14:paraId="32D4C033">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79CD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7F6AE4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09" w:type="pct"/>
            <w:vAlign w:val="center"/>
          </w:tcPr>
          <w:p w14:paraId="26EB314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1．信银理财</w:t>
            </w:r>
            <w:r>
              <w:rPr>
                <w:rFonts w:ascii="楷体_GB2312" w:eastAsia="楷体_GB2312" w:cs="楷体_GB2312"/>
                <w:color w:val="000000" w:themeColor="text1"/>
                <w:sz w:val="20"/>
                <w:szCs w:val="20"/>
                <w14:textFill>
                  <w14:solidFill>
                    <w14:schemeClr w14:val="tx1"/>
                  </w14:solidFill>
                </w14:textFill>
              </w:rPr>
              <w:t>将通过【http://www.citic-wealth.com】</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5811A9B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本理财产品存续期间内，因</w:t>
            </w:r>
            <w:r>
              <w:rPr>
                <w:rFonts w:ascii="楷体_GB2312" w:eastAsia="楷体_GB2312" w:cs="楷体_GB2312"/>
                <w:color w:val="000000" w:themeColor="text1"/>
                <w:sz w:val="20"/>
                <w:szCs w:val="20"/>
                <w14:textFill>
                  <w14:solidFill>
                    <w14:schemeClr w14:val="tx1"/>
                  </w14:solidFill>
                </w14:textFill>
              </w:rPr>
              <w:t>国家法律法规、监管规定发生变化，或是出于维持本产品正常运营需要</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在不损害投资者</w:t>
            </w:r>
            <w:r>
              <w:rPr>
                <w:rFonts w:hint="eastAsia" w:ascii="楷体_GB2312" w:eastAsia="楷体_GB2312" w:cs="楷体_GB2312"/>
                <w:color w:val="000000" w:themeColor="text1"/>
                <w:sz w:val="20"/>
                <w:szCs w:val="20"/>
                <w14:textFill>
                  <w14:solidFill>
                    <w14:schemeClr w14:val="tx1"/>
                  </w14:solidFill>
                </w14:textFill>
              </w:rPr>
              <w:t>利益</w:t>
            </w:r>
            <w:r>
              <w:rPr>
                <w:rFonts w:ascii="楷体_GB2312" w:eastAsia="楷体_GB2312" w:cs="楷体_GB2312"/>
                <w:color w:val="000000" w:themeColor="text1"/>
                <w:sz w:val="20"/>
                <w:szCs w:val="20"/>
                <w14:textFill>
                  <w14:solidFill>
                    <w14:schemeClr w14:val="tx1"/>
                  </w14:solidFill>
                </w14:textFill>
              </w:rPr>
              <w:t>的前提下</w:t>
            </w:r>
            <w:r>
              <w:rPr>
                <w:rFonts w:hint="eastAsia" w:ascii="楷体_GB2312" w:eastAsia="楷体_GB2312" w:cs="楷体_GB2312"/>
                <w:color w:val="000000" w:themeColor="text1"/>
                <w:sz w:val="20"/>
                <w:szCs w:val="20"/>
                <w14:textFill>
                  <w14:solidFill>
                    <w14:schemeClr w14:val="tx1"/>
                  </w14:solidFill>
                </w14:textFill>
              </w:rPr>
              <w:t>，信银理财有权提前【2】个工作日向投资者发出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w:t>
            </w:r>
          </w:p>
          <w:p w14:paraId="07DBB1E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3A94158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7965FB0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76FC2D2A">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237D92F2">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56B2842">
            <w:pPr>
              <w:pStyle w:val="19"/>
              <w:spacing w:line="300" w:lineRule="exact"/>
              <w:ind w:left="360"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23460B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79FB8F9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13ECEA48">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13C3E74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color w:val="000000" w:themeColor="text1"/>
                <w:sz w:val="20"/>
                <w:szCs w:val="20"/>
                <w14:textFill>
                  <w14:solidFill>
                    <w14:schemeClr w14:val="tx1"/>
                  </w14:solidFill>
                </w14:textFill>
              </w:rPr>
              <w:t>。</w:t>
            </w:r>
          </w:p>
          <w:p w14:paraId="52D47665">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产品存续期间，信银理财将向投资者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经信银理财合理判断认为对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w:t>
            </w:r>
            <w:r>
              <w:rPr>
                <w:rFonts w:hint="eastAsia" w:ascii="楷体_GB2312" w:eastAsia="楷体_GB2312" w:cs="楷体_GB2312"/>
                <w:color w:val="000000" w:themeColor="text1"/>
                <w:sz w:val="20"/>
                <w:szCs w:val="20"/>
                <w14:textFill>
                  <w14:solidFill>
                    <w14:schemeClr w14:val="tx1"/>
                  </w14:solidFill>
                </w14:textFill>
              </w:rPr>
              <w:t>及时</w:t>
            </w:r>
            <w:r>
              <w:rPr>
                <w:rFonts w:ascii="楷体_GB2312" w:eastAsia="楷体_GB2312" w:cs="楷体_GB2312"/>
                <w:color w:val="000000" w:themeColor="text1"/>
                <w:sz w:val="20"/>
                <w:szCs w:val="20"/>
                <w14:textFill>
                  <w14:solidFill>
                    <w14:schemeClr w14:val="tx1"/>
                  </w14:solidFill>
                </w14:textFill>
              </w:rPr>
              <w:t>向投资者发布相关信息。</w:t>
            </w:r>
          </w:p>
          <w:p w14:paraId="7013C4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w:t>
            </w:r>
            <w:r>
              <w:rPr>
                <w:rFonts w:ascii="楷体_GB2312" w:eastAsia="楷体_GB2312" w:cs="楷体_GB2312"/>
                <w:color w:val="000000" w:themeColor="text1"/>
                <w:sz w:val="20"/>
                <w:szCs w:val="20"/>
                <w14:textFill>
                  <w14:solidFill>
                    <w14:schemeClr w14:val="tx1"/>
                  </w14:solidFill>
                </w14:textFill>
              </w:rPr>
              <w:t>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购</w:t>
            </w:r>
            <w:r>
              <w:rPr>
                <w:rFonts w:ascii="楷体_GB2312" w:eastAsia="楷体_GB2312" w:cs="楷体_GB2312"/>
                <w:color w:val="000000" w:themeColor="text1"/>
                <w:sz w:val="20"/>
                <w:szCs w:val="20"/>
                <w14:textFill>
                  <w14:solidFill>
                    <w14:schemeClr w14:val="tx1"/>
                  </w14:solidFill>
                </w14:textFill>
              </w:rPr>
              <w:t>申请</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个交易日内告知投资者，并说明运用相关措施的原因、拟采取的应对安排等。在发生涉及理财产品认购事项调</w:t>
            </w:r>
            <w:r>
              <w:rPr>
                <w:rFonts w:hint="eastAsia" w:ascii="楷体_GB2312" w:eastAsia="楷体_GB2312" w:cs="楷体_GB2312"/>
                <w:color w:val="000000" w:themeColor="text1"/>
                <w:sz w:val="20"/>
                <w:szCs w:val="20"/>
                <w14:textFill>
                  <w14:solidFill>
                    <w14:schemeClr w14:val="tx1"/>
                  </w14:solidFill>
                </w14:textFill>
              </w:rPr>
              <w:t>整</w:t>
            </w:r>
            <w:r>
              <w:rPr>
                <w:rFonts w:ascii="楷体_GB2312" w:eastAsia="楷体_GB2312" w:cs="楷体_GB2312"/>
                <w:color w:val="000000" w:themeColor="text1"/>
                <w:sz w:val="20"/>
                <w:szCs w:val="20"/>
                <w14:textFill>
                  <w14:solidFill>
                    <w14:schemeClr w14:val="tx1"/>
                  </w14:solidFill>
                </w14:textFill>
              </w:rPr>
              <w:t>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4D7FDA24">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的，信银理财将根据上述规定向投资者发布相关信息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6551E69C">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14:paraId="30C464FF">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left="200" w:firstLine="201" w:firstLineChars="1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hAnsi="Times New Roman" w:eastAsia="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14:paraId="35CD7F63">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p>
    <w:p w14:paraId="408920C5">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投资者在募集期</w:t>
      </w:r>
      <w:r>
        <w:rPr>
          <w:rFonts w:ascii="Times New Roman" w:hAnsi="Times New Roman" w:eastAsia="楷体_GB2312" w:cs="Times New Roman"/>
          <w:color w:val="000000" w:themeColor="text1"/>
          <w:sz w:val="20"/>
          <w:szCs w:val="20"/>
          <w14:textFill>
            <w14:solidFill>
              <w14:schemeClr w14:val="tx1"/>
            </w14:solidFill>
          </w14:textFill>
        </w:rPr>
        <w:t>内可</w:t>
      </w:r>
      <w:r>
        <w:rPr>
          <w:rFonts w:hint="eastAsia" w:ascii="Times New Roman" w:hAnsi="Times New Roman" w:eastAsia="楷体_GB2312" w:cs="Times New Roman"/>
          <w:color w:val="000000" w:themeColor="text1"/>
          <w:sz w:val="20"/>
          <w:szCs w:val="20"/>
          <w14:textFill>
            <w14:solidFill>
              <w14:schemeClr w14:val="tx1"/>
            </w14:solidFill>
          </w14:textFill>
        </w:rPr>
        <w:t>提交</w:t>
      </w:r>
      <w:r>
        <w:rPr>
          <w:rFonts w:ascii="Times New Roman" w:hAnsi="Times New Roman" w:eastAsia="楷体_GB2312" w:cs="Times New Roman"/>
          <w:color w:val="000000" w:themeColor="text1"/>
          <w:sz w:val="20"/>
          <w:szCs w:val="20"/>
          <w14:textFill>
            <w14:solidFill>
              <w14:schemeClr w14:val="tx1"/>
            </w14:solidFill>
          </w14:textFill>
        </w:rPr>
        <w:t>认购申请，认购</w:t>
      </w:r>
      <w:r>
        <w:rPr>
          <w:rFonts w:hint="eastAsia" w:ascii="Times New Roman" w:hAnsi="Times New Roman" w:eastAsia="楷体_GB2312" w:cs="Times New Roman"/>
          <w:color w:val="000000" w:themeColor="text1"/>
          <w:sz w:val="20"/>
          <w:szCs w:val="20"/>
          <w14:textFill>
            <w14:solidFill>
              <w14:schemeClr w14:val="tx1"/>
            </w14:solidFill>
          </w14:textFill>
        </w:rPr>
        <w:t>理财</w:t>
      </w:r>
      <w:r>
        <w:rPr>
          <w:rFonts w:ascii="Times New Roman" w:hAnsi="Times New Roman" w:eastAsia="楷体_GB2312" w:cs="Times New Roman"/>
          <w:color w:val="000000" w:themeColor="text1"/>
          <w:sz w:val="20"/>
          <w:szCs w:val="20"/>
          <w14:textFill>
            <w14:solidFill>
              <w14:schemeClr w14:val="tx1"/>
            </w14:solidFill>
          </w14:textFill>
        </w:rPr>
        <w:t>产品份额</w:t>
      </w:r>
      <w:r>
        <w:rPr>
          <w:rFonts w:hint="eastAsia" w:ascii="Times New Roman" w:hAnsi="Times New Roman" w:eastAsia="楷体_GB2312" w:cs="Times New Roman"/>
          <w:color w:val="000000" w:themeColor="text1"/>
          <w:sz w:val="20"/>
          <w:szCs w:val="20"/>
          <w14:textFill>
            <w14:solidFill>
              <w14:schemeClr w14:val="tx1"/>
            </w14:solidFill>
          </w14:textFill>
        </w:rPr>
        <w:t>。</w:t>
      </w:r>
    </w:p>
    <w:p w14:paraId="433102F3">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本</w:t>
      </w:r>
      <w:r>
        <w:rPr>
          <w:rFonts w:ascii="Times New Roman" w:hAnsi="Times New Roman" w:eastAsia="楷体_GB2312" w:cs="Times New Roman"/>
          <w:color w:val="000000" w:themeColor="text1"/>
          <w:sz w:val="20"/>
          <w:szCs w:val="20"/>
          <w14:textFill>
            <w14:solidFill>
              <w14:schemeClr w14:val="tx1"/>
            </w14:solidFill>
          </w14:textFill>
        </w:rPr>
        <w:t>理财产品采取金额认购的方式，</w:t>
      </w:r>
      <w:r>
        <w:rPr>
          <w:rFonts w:hint="eastAsia" w:ascii="Times New Roman" w:hAnsi="Times New Roman" w:eastAsia="楷体_GB2312" w:cs="Times New Roman"/>
          <w:color w:val="000000" w:themeColor="text1"/>
          <w:sz w:val="20"/>
          <w:szCs w:val="20"/>
          <w14:textFill>
            <w14:solidFill>
              <w14:schemeClr w14:val="tx1"/>
            </w14:solidFill>
          </w14:textFill>
        </w:rPr>
        <w:t>认购份额</w:t>
      </w:r>
      <w:r>
        <w:rPr>
          <w:rFonts w:ascii="Times New Roman" w:hAnsi="Times New Roman" w:eastAsia="楷体_GB2312" w:cs="Times New Roman"/>
          <w:color w:val="000000" w:themeColor="text1"/>
          <w:sz w:val="20"/>
          <w:szCs w:val="20"/>
          <w14:textFill>
            <w14:solidFill>
              <w14:schemeClr w14:val="tx1"/>
            </w14:solidFill>
          </w14:textFill>
        </w:rPr>
        <w:t>=人民币认购金额×（1-认购费率）/1元</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认购份额按照四舍五入方法计算，保留小数点后【2】位</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由此误差产生的损失由理财财产承担，产生的收益归理财财产所有）</w:t>
      </w:r>
      <w:r>
        <w:rPr>
          <w:rFonts w:ascii="Times New Roman" w:hAnsi="Times New Roman" w:eastAsia="楷体_GB2312" w:cs="Times New Roman"/>
          <w:color w:val="000000" w:themeColor="text1"/>
          <w:sz w:val="20"/>
          <w:szCs w:val="20"/>
          <w14:textFill>
            <w14:solidFill>
              <w14:schemeClr w14:val="tx1"/>
            </w14:solidFill>
          </w14:textFill>
        </w:rPr>
        <w:t>。</w:t>
      </w:r>
    </w:p>
    <w:p w14:paraId="166A4339">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募集期结束后的第一个工作日</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为认购份额</w:t>
      </w:r>
      <w:r>
        <w:rPr>
          <w:rFonts w:ascii="Times New Roman" w:hAnsi="Times New Roman" w:eastAsia="楷体_GB2312" w:cs="Times New Roman"/>
          <w:color w:val="000000" w:themeColor="text1"/>
          <w:sz w:val="20"/>
          <w:szCs w:val="20"/>
          <w14:textFill>
            <w14:solidFill>
              <w14:schemeClr w14:val="tx1"/>
            </w14:solidFill>
          </w14:textFill>
        </w:rPr>
        <w:t>确认日</w:t>
      </w:r>
      <w:r>
        <w:rPr>
          <w:rFonts w:hint="eastAsia" w:ascii="Times New Roman" w:hAnsi="Times New Roman" w:eastAsia="楷体_GB2312" w:cs="Times New Roman"/>
          <w:color w:val="000000" w:themeColor="text1"/>
          <w:sz w:val="20"/>
          <w:szCs w:val="20"/>
          <w14:textFill>
            <w14:solidFill>
              <w14:schemeClr w14:val="tx1"/>
            </w14:solidFill>
          </w14:textFill>
        </w:rPr>
        <w:t>，认购</w:t>
      </w:r>
      <w:r>
        <w:rPr>
          <w:rFonts w:ascii="Times New Roman" w:hAnsi="Times New Roman" w:eastAsia="楷体_GB2312" w:cs="Times New Roman"/>
          <w:color w:val="000000" w:themeColor="text1"/>
          <w:sz w:val="20"/>
          <w:szCs w:val="20"/>
          <w14:textFill>
            <w14:solidFill>
              <w14:schemeClr w14:val="tx1"/>
            </w14:solidFill>
          </w14:textFill>
        </w:rPr>
        <w:t>份额确认日后投资者可</w:t>
      </w:r>
      <w:r>
        <w:rPr>
          <w:rFonts w:hint="eastAsia" w:ascii="Times New Roman" w:hAnsi="Times New Roman" w:eastAsia="楷体_GB2312" w:cs="Times New Roman"/>
          <w:color w:val="000000" w:themeColor="text1"/>
          <w:sz w:val="20"/>
          <w:szCs w:val="20"/>
          <w14:textFill>
            <w14:solidFill>
              <w14:schemeClr w14:val="tx1"/>
            </w14:solidFill>
          </w14:textFill>
        </w:rPr>
        <w:t>向销售机构</w:t>
      </w:r>
      <w:r>
        <w:rPr>
          <w:rFonts w:ascii="Times New Roman" w:hAnsi="Times New Roman" w:eastAsia="楷体_GB2312" w:cs="Times New Roman"/>
          <w:color w:val="000000" w:themeColor="text1"/>
          <w:sz w:val="20"/>
          <w:szCs w:val="20"/>
          <w14:textFill>
            <w14:solidFill>
              <w14:schemeClr w14:val="tx1"/>
            </w14:solidFill>
          </w14:textFill>
        </w:rPr>
        <w:t>查询认购是否</w:t>
      </w:r>
      <w:r>
        <w:rPr>
          <w:rFonts w:hint="eastAsia" w:ascii="Times New Roman" w:hAnsi="Times New Roman" w:eastAsia="楷体_GB2312" w:cs="Times New Roman"/>
          <w:color w:val="000000" w:themeColor="text1"/>
          <w:sz w:val="20"/>
          <w:szCs w:val="20"/>
          <w14:textFill>
            <w14:solidFill>
              <w14:schemeClr w14:val="tx1"/>
            </w14:solidFill>
          </w14:textFill>
        </w:rPr>
        <w:t>成功</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p>
    <w:p w14:paraId="2142C2C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理财</w:t>
      </w:r>
      <w:r>
        <w:rPr>
          <w:rFonts w:ascii="黑体" w:hAnsi="Times New Roman" w:eastAsia="黑体" w:cs="黑体"/>
          <w:color w:val="000000" w:themeColor="text1"/>
          <w:sz w:val="20"/>
          <w:szCs w:val="20"/>
          <w14:textFill>
            <w14:solidFill>
              <w14:schemeClr w14:val="tx1"/>
            </w14:solidFill>
          </w14:textFill>
        </w:rPr>
        <w:t>产品的</w:t>
      </w:r>
      <w:r>
        <w:rPr>
          <w:rFonts w:hint="eastAsia" w:ascii="黑体" w:hAnsi="Times New Roman" w:eastAsia="黑体" w:cs="黑体"/>
          <w:color w:val="000000" w:themeColor="text1"/>
          <w:sz w:val="20"/>
          <w:szCs w:val="20"/>
          <w14:textFill>
            <w14:solidFill>
              <w14:schemeClr w14:val="tx1"/>
            </w14:solidFill>
          </w14:textFill>
        </w:rPr>
        <w:t>申购和</w:t>
      </w:r>
      <w:r>
        <w:rPr>
          <w:rFonts w:ascii="黑体" w:hAnsi="Times New Roman" w:eastAsia="黑体" w:cs="黑体"/>
          <w:color w:val="000000" w:themeColor="text1"/>
          <w:sz w:val="20"/>
          <w:szCs w:val="20"/>
          <w14:textFill>
            <w14:solidFill>
              <w14:schemeClr w14:val="tx1"/>
            </w14:solidFill>
          </w14:textFill>
        </w:rPr>
        <w:t>赎回</w:t>
      </w:r>
    </w:p>
    <w:p w14:paraId="0AC6A6FA">
      <w:pPr>
        <w:spacing w:line="300" w:lineRule="exact"/>
        <w:ind w:left="-2" w:leftChars="-1"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6B9F2CF3">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eastAsia="楷体_GB2312" w:cs="楷体_GB2312"/>
          <w:color w:val="000000" w:themeColor="text1"/>
          <w:sz w:val="20"/>
          <w:szCs w:val="20"/>
          <w14:textFill>
            <w14:solidFill>
              <w14:schemeClr w14:val="tx1"/>
            </w14:solidFill>
          </w14:textFill>
        </w:rPr>
      </w:pPr>
    </w:p>
    <w:p w14:paraId="2F9BC8AD">
      <w:pPr>
        <w:pStyle w:val="19"/>
        <w:numPr>
          <w:ilvl w:val="0"/>
          <w:numId w:val="7"/>
        </w:numPr>
        <w:spacing w:line="300" w:lineRule="exact"/>
        <w:ind w:right="96" w:rightChars="4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理财资金分配</w:t>
      </w:r>
    </w:p>
    <w:p w14:paraId="44DD0FE2">
      <w:pPr>
        <w:pStyle w:val="19"/>
        <w:numPr>
          <w:ilvl w:val="0"/>
          <w:numId w:val="0"/>
        </w:numPr>
        <w:spacing w:line="300" w:lineRule="exact"/>
        <w:ind w:right="96" w:rightChars="40" w:firstLine="42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lang w:eastAsia="zh-CN"/>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244E4B04">
      <w:pPr>
        <w:spacing w:line="300" w:lineRule="exact"/>
        <w:ind w:right="96" w:rightChars="40" w:firstLine="402"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无。</w:t>
      </w:r>
    </w:p>
    <w:p w14:paraId="2FCF4BB6">
      <w:pPr>
        <w:pStyle w:val="19"/>
        <w:numPr>
          <w:ilvl w:val="0"/>
          <w:numId w:val="0"/>
        </w:numPr>
        <w:spacing w:line="300" w:lineRule="exact"/>
        <w:ind w:right="96" w:rightChars="40" w:firstLine="420" w:firstLineChars="0"/>
        <w:rPr>
          <w:rFonts w:hint="eastAsia" w:ascii="黑体" w:eastAsia="黑体" w:cs="黑体"/>
          <w:color w:val="000000" w:themeColor="text1"/>
          <w:sz w:val="20"/>
          <w:szCs w:val="20"/>
          <w:lang w:eastAsia="zh-CN"/>
          <w14:textFill>
            <w14:solidFill>
              <w14:schemeClr w14:val="tx1"/>
            </w14:solidFill>
          </w14:textFill>
        </w:rPr>
      </w:pPr>
      <w:r>
        <w:rPr>
          <w:rFonts w:hint="eastAsia" w:ascii="黑体" w:eastAsia="黑体" w:cs="黑体"/>
          <w:color w:val="000000" w:themeColor="text1"/>
          <w:sz w:val="20"/>
          <w:szCs w:val="20"/>
          <w:lang w:eastAsia="zh-CN"/>
          <w14:textFill>
            <w14:solidFill>
              <w14:schemeClr w14:val="tx1"/>
            </w14:solidFill>
          </w14:textFill>
        </w:rPr>
        <w:t>（二）终止分配</w:t>
      </w:r>
    </w:p>
    <w:p w14:paraId="5F49184E">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14:paraId="6CF59FB7">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w:t>
      </w: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0B5273DF">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3D646041">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-应付浮动</w:t>
      </w:r>
      <w:r>
        <w:rPr>
          <w:rFonts w:ascii="楷体_GB2312" w:eastAsia="楷体_GB2312" w:cs="楷体_GB2312"/>
          <w:color w:val="000000" w:themeColor="text1"/>
          <w:sz w:val="20"/>
          <w:szCs w:val="20"/>
          <w14:textFill>
            <w14:solidFill>
              <w14:schemeClr w14:val="tx1"/>
            </w14:solidFill>
          </w14:textFill>
        </w:rPr>
        <w:t>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55FA2824">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558A3115">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3A470B0F">
      <w:pPr>
        <w:spacing w:line="300" w:lineRule="exact"/>
        <w:ind w:left="-2" w:leftChars="-1" w:right="36" w:rightChars="15"/>
        <w:rPr>
          <w:color w:val="000000" w:themeColor="text1"/>
          <w14:textFill>
            <w14:solidFill>
              <w14:schemeClr w14:val="tx1"/>
            </w14:solidFill>
          </w14:textFill>
        </w:rPr>
      </w:pPr>
    </w:p>
    <w:p w14:paraId="0B43CF77">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2.认购费</w:t>
      </w:r>
      <w:r>
        <w:rPr>
          <w:rFonts w:hint="eastAsia" w:ascii="楷体_GB2312" w:eastAsia="楷体_GB2312" w:cs="楷体_GB2312"/>
          <w:b/>
          <w:color w:val="000000"/>
          <w:sz w:val="20"/>
          <w:szCs w:val="20"/>
        </w:rPr>
        <w:t>：</w:t>
      </w:r>
      <w:r>
        <w:rPr>
          <w:rFonts w:ascii="楷体_GB2312" w:eastAsia="楷体_GB2312" w:cs="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cs="楷体_GB2312"/>
          <w:b/>
          <w:sz w:val="20"/>
          <w:szCs w:val="20"/>
        </w:rPr>
        <w:t>。</w:t>
      </w:r>
    </w:p>
    <w:p w14:paraId="54618D6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【A】类份额费率【0.08%】/年，【C】类份额费率【0.01%】/年，【D】类份额费率【0.05%】/年，【H】类份额费率【0.08%】/年，【M】类份额费率【0.15%】/年，【N】类份额费率【0.20%】/年，计算方式为【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14:paraId="55AFEBB0">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销售服务费每日计提，按【</w:t>
      </w:r>
      <w:r>
        <w:rPr>
          <w:rFonts w:hint="eastAsia" w:ascii="楷体_GB2312" w:eastAsia="楷体_GB2312" w:cs="楷体_GB2312"/>
          <w:b/>
          <w:sz w:val="20"/>
          <w:szCs w:val="20"/>
        </w:rPr>
        <w:t>季</w:t>
      </w:r>
      <w:r>
        <w:rPr>
          <w:rFonts w:ascii="楷体_GB2312" w:eastAsia="楷体_GB2312" w:cs="楷体_GB2312"/>
          <w:b/>
          <w:color w:val="000000"/>
          <w:sz w:val="20"/>
          <w:szCs w:val="20"/>
        </w:rPr>
        <w:t>】支付，由管理人向托管人发送指令，托管人复核后按【季】从资产中一次性支付。投资者通过代销机构购买理财产品的，代销机构收取的</w:t>
      </w:r>
      <w:r>
        <w:rPr>
          <w:rFonts w:hint="eastAsia" w:ascii="楷体_GB2312" w:eastAsia="楷体_GB2312" w:cs="楷体_GB2312"/>
          <w:b/>
          <w:color w:val="000000"/>
          <w:sz w:val="20"/>
          <w:szCs w:val="20"/>
        </w:rPr>
        <w:t>销售</w:t>
      </w:r>
      <w:r>
        <w:rPr>
          <w:rFonts w:ascii="楷体_GB2312" w:eastAsia="楷体_GB2312" w:cs="楷体_GB2312"/>
          <w:b/>
          <w:color w:val="000000"/>
          <w:sz w:val="20"/>
          <w:szCs w:val="20"/>
        </w:rPr>
        <w:t>相关费用以代销机构规定为准。</w:t>
      </w:r>
    </w:p>
    <w:p w14:paraId="7D1AECCA">
      <w:pPr>
        <w:spacing w:line="300" w:lineRule="exact"/>
        <w:ind w:firstLine="402" w:firstLineChars="200"/>
        <w:rPr>
          <w:rFonts w:ascii="楷体_GB2312" w:eastAsia="楷体_GB2312" w:cs="楷体_GB2312"/>
          <w:b/>
          <w:color w:val="000000"/>
          <w:sz w:val="20"/>
          <w:szCs w:val="20"/>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eastAsia="楷体_GB2312" w:cs="楷体_GB2312"/>
          <w:b/>
          <w:color w:val="000000"/>
          <w:sz w:val="20"/>
          <w:szCs w:val="20"/>
        </w:rPr>
        <w:t>托管费每日计提，按【</w:t>
      </w:r>
      <w:r>
        <w:rPr>
          <w:rFonts w:hint="eastAsia" w:ascii="楷体_GB2312" w:eastAsia="楷体_GB2312" w:cs="楷体_GB2312"/>
          <w:b/>
          <w:color w:val="000000"/>
          <w:sz w:val="20"/>
          <w:szCs w:val="20"/>
        </w:rPr>
        <w:t>到期</w:t>
      </w:r>
      <w:r>
        <w:rPr>
          <w:rFonts w:ascii="楷体_GB2312" w:eastAsia="楷体_GB2312" w:cs="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0.08%】/年，计算方式为【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14:paraId="60C301C7">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6.浮动管理费</w:t>
      </w:r>
    </w:p>
    <w:p w14:paraId="03DB22E1">
      <w:pPr>
        <w:snapToGrid w:val="0"/>
        <w:spacing w:line="300" w:lineRule="exact"/>
        <w:ind w:right="96" w:rightChars="40" w:firstLine="402" w:firstLineChars="200"/>
        <w:outlineLvl w:val="0"/>
        <w:rPr>
          <w:rFonts w:ascii="楷体_GB2312" w:eastAsia="楷体_GB2312" w:cs="楷体_GB2312"/>
          <w:b/>
          <w:color w:val="000000"/>
          <w:sz w:val="20"/>
          <w:szCs w:val="20"/>
        </w:rPr>
      </w:pPr>
      <w:r>
        <w:rPr>
          <w:rFonts w:ascii="楷体_GB2312" w:eastAsia="楷体_GB2312" w:cs="楷体_GB2312"/>
          <w:b/>
          <w:sz w:val="20"/>
          <w:szCs w:val="20"/>
        </w:rPr>
        <w:t>【A】类份额设立业绩比较基准，在产品到期日或提前终止日时，如计提浮动管理费前年化收益率超过【1.95%】的，管理人将收取超额部分的【50%】作为浮动管理费。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【C】类份额设立业绩比较基准，在产品到期日或提前终止日时，如计提浮动管理费前年化收益率超过【2.02%】的，管理人将收取超额部分的【50%】作为浮动管理费。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【D】类份额设立业绩比较基准，在产品到期日或提前终止日时，如计提浮动管理费前年化收益率超过【1.98%】的，管理人将收取超额部分的【50%】作为浮动管理费。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【H】类份额设立业绩比较基准，在产品到期日或提前终止日时，如计提浮动管理费前年化收益率超过【1.95%】的，管理人将收取超额部分的【50%】作为浮动管理费。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【M】类份额设立业绩比较基准，在产品到期日或提前终止日时，如计提浮动管理费前年化收益率超过【1.88%】的，管理人将收取超额部分的【50%】作为浮动管理费。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【N】类份额设立业绩比较基准，在产品到期日或提前终止日时，如计提浮动管理费前年化收益率超过【1.83%】的，管理人将收取超额部分的【50%】作为浮动管理费。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浮动管理费到期日或提前终止日计提，由管理人向托管人发送指令，托管人复核后到期从资产中一次性支付。</w:t>
      </w:r>
      <w:r>
        <w:rPr>
          <w:rFonts w:ascii="楷体_GB2312" w:eastAsia="楷体_GB2312" w:cs="楷体_GB2312"/>
          <w:b/>
          <w:sz w:val="20"/>
          <w:szCs w:val="20"/>
        </w:rPr>
        <w:br w:type="textWrapping"/>
      </w:r>
      <w:r>
        <w:rPr>
          <w:rFonts w:ascii="楷体_GB2312" w:eastAsia="楷体_GB2312" w:cs="楷体_GB2312"/>
          <w:b/>
          <w:sz w:val="20"/>
          <w:szCs w:val="20"/>
        </w:rP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7.产品运作和清算中产生的其他资金汇划费、结算费、交易手续费、注册登记费、信息披露费、账户服务费、审计费、律师费</w:t>
      </w:r>
      <w:r>
        <w:rPr>
          <w:rFonts w:hint="eastAsia" w:ascii="楷体_GB2312" w:eastAsia="楷体_GB2312" w:cs="楷体_GB2312"/>
          <w:b/>
          <w:color w:val="000000"/>
          <w:sz w:val="20"/>
          <w:szCs w:val="20"/>
        </w:rPr>
        <w:t>、因投资资产而产生的资产推荐服务费等相关费用</w:t>
      </w:r>
      <w:r>
        <w:rPr>
          <w:rFonts w:ascii="楷体_GB2312" w:eastAsia="楷体_GB2312" w:cs="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79F8174C">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九、资产估值</w:t>
      </w:r>
    </w:p>
    <w:p w14:paraId="1AB5D4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773AD8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净值披露日和收益分配日</w:t>
      </w:r>
      <w:r>
        <w:rPr>
          <w:rFonts w:ascii="楷体_GB2312" w:eastAsia="楷体_GB2312" w:cs="楷体_GB2312"/>
          <w:color w:val="000000" w:themeColor="text1"/>
          <w:sz w:val="20"/>
          <w:szCs w:val="20"/>
          <w14:textFill>
            <w14:solidFill>
              <w14:schemeClr w14:val="tx1"/>
            </w14:solidFill>
          </w14:textFill>
        </w:rPr>
        <w:t>。</w:t>
      </w:r>
    </w:p>
    <w:p w14:paraId="57A19E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6EB8E0C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错误的处理</w:t>
      </w:r>
    </w:p>
    <w:p w14:paraId="6ECAB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eastAsia="楷体_GB2312" w:cs="楷体_GB2312"/>
          <w:color w:val="000000" w:themeColor="text1"/>
          <w:sz w:val="20"/>
          <w:szCs w:val="20"/>
          <w14:textFill>
            <w14:solidFill>
              <w14:schemeClr w14:val="tx1"/>
            </w14:solidFill>
          </w14:textFill>
        </w:rPr>
        <w:t>托管人</w:t>
      </w:r>
      <w:r>
        <w:rPr>
          <w:rFonts w:hint="eastAsia" w:ascii="楷体_GB2312" w:eastAsia="楷体_GB2312" w:cs="楷体_GB2312"/>
          <w:color w:val="000000" w:themeColor="text1"/>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val="000000" w:themeColor="text1"/>
          <w:sz w:val="20"/>
          <w:szCs w:val="20"/>
          <w14:textFill>
            <w14:solidFill>
              <w14:schemeClr w14:val="tx1"/>
            </w14:solidFill>
          </w14:textFill>
        </w:rPr>
        <w:t>应当积极采取必要措施消除</w:t>
      </w:r>
      <w:r>
        <w:rPr>
          <w:rFonts w:hint="eastAsia" w:ascii="楷体_GB2312" w:eastAsia="楷体_GB2312"/>
          <w:color w:val="000000" w:themeColor="text1"/>
          <w:sz w:val="20"/>
          <w:szCs w:val="20"/>
          <w14:textFill>
            <w14:solidFill>
              <w14:schemeClr w14:val="tx1"/>
            </w14:solidFill>
          </w14:textFill>
        </w:rPr>
        <w:t>差错</w:t>
      </w:r>
      <w:r>
        <w:rPr>
          <w:rFonts w:ascii="楷体_GB2312" w:eastAsia="楷体_GB2312"/>
          <w:color w:val="000000" w:themeColor="text1"/>
          <w:sz w:val="20"/>
          <w:szCs w:val="20"/>
          <w14:textFill>
            <w14:solidFill>
              <w14:schemeClr w14:val="tx1"/>
            </w14:solidFill>
          </w14:textFill>
        </w:rPr>
        <w:t>带来的影响</w:t>
      </w:r>
      <w:r>
        <w:rPr>
          <w:rFonts w:hint="eastAsia" w:ascii="楷体_GB2312" w:eastAsia="楷体_GB2312"/>
          <w:color w:val="000000" w:themeColor="text1"/>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w:t>
      </w:r>
      <w:r>
        <w:rPr>
          <w:rFonts w:hint="eastAsia" w:ascii="楷体_GB2312" w:eastAsia="楷体_GB2312"/>
          <w:color w:val="000000" w:themeColor="text1"/>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w:t>
      </w:r>
      <w:r>
        <w:rPr>
          <w:rFonts w:hint="eastAsia" w:ascii="楷体_GB2312" w:eastAsia="楷体_GB2312"/>
          <w:color w:val="000000" w:themeColor="text1"/>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．暂停</w:t>
      </w:r>
      <w:r>
        <w:rPr>
          <w:rFonts w:ascii="楷体_GB2312" w:eastAsia="楷体_GB2312" w:cs="楷体_GB2312"/>
          <w:color w:val="000000" w:themeColor="text1"/>
          <w:sz w:val="20"/>
          <w:szCs w:val="20"/>
          <w14:textFill>
            <w14:solidFill>
              <w14:schemeClr w14:val="tx1"/>
            </w14:solidFill>
          </w14:textFill>
        </w:rPr>
        <w:t>估值的情形</w:t>
      </w:r>
    </w:p>
    <w:p w14:paraId="371493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4C1B57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w:t>
      </w:r>
      <w:r>
        <w:rPr>
          <w:rFonts w:ascii="楷体_GB2312" w:eastAsia="楷体_GB2312" w:cs="楷体_GB2312"/>
          <w:color w:val="000000" w:themeColor="text1"/>
          <w:sz w:val="20"/>
          <w:szCs w:val="20"/>
          <w14:textFill>
            <w14:solidFill>
              <w14:schemeClr w14:val="tx1"/>
            </w14:solidFill>
          </w14:textFill>
        </w:rPr>
        <w:t>以上情形，</w:t>
      </w:r>
      <w:r>
        <w:rPr>
          <w:rFonts w:hint="eastAsia" w:ascii="楷体_GB2312" w:eastAsia="楷体_GB2312" w:cs="楷体_GB2312"/>
          <w:color w:val="000000" w:themeColor="text1"/>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2FDF408">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十、产品不成立</w:t>
      </w:r>
    </w:p>
    <w:p w14:paraId="5A45DF60">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37899C85">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eastAsia="楷体_GB2312" w:cs="楷体_GB2312"/>
          <w:color w:val="000000" w:themeColor="text1"/>
          <w:sz w:val="20"/>
          <w:szCs w:val="20"/>
          <w14:textFill>
            <w14:solidFill>
              <w14:schemeClr w14:val="tx1"/>
            </w14:solidFill>
          </w14:textFill>
        </w:rPr>
        <w:t>通过代销机构渠道购买</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产品的，</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本金</w:t>
      </w:r>
      <w:r>
        <w:rPr>
          <w:rFonts w:hint="eastAsia" w:ascii="楷体_GB2312" w:eastAsia="楷体_GB2312" w:cs="楷体_GB2312"/>
          <w:color w:val="000000" w:themeColor="text1"/>
          <w:sz w:val="20"/>
          <w:szCs w:val="20"/>
          <w14:textFill>
            <w14:solidFill>
              <w14:schemeClr w14:val="tx1"/>
            </w14:solidFill>
          </w14:textFill>
        </w:rPr>
        <w:t>划转至</w:t>
      </w:r>
      <w:r>
        <w:rPr>
          <w:rFonts w:ascii="楷体_GB2312" w:eastAsia="楷体_GB2312" w:cs="楷体_GB2312"/>
          <w:color w:val="000000" w:themeColor="text1"/>
          <w:sz w:val="20"/>
          <w:szCs w:val="20"/>
          <w14:textFill>
            <w14:solidFill>
              <w14:schemeClr w14:val="tx1"/>
            </w14:solidFill>
          </w14:textFill>
        </w:rPr>
        <w:t>投资者账户的时间以代销机构</w:t>
      </w:r>
      <w:r>
        <w:rPr>
          <w:rFonts w:hint="eastAsia" w:ascii="楷体_GB2312" w:eastAsia="楷体_GB2312" w:cs="楷体_GB2312"/>
          <w:color w:val="000000" w:themeColor="text1"/>
          <w:sz w:val="20"/>
          <w:szCs w:val="20"/>
          <w14:textFill>
            <w14:solidFill>
              <w14:schemeClr w14:val="tx1"/>
            </w14:solidFill>
          </w14:textFill>
        </w:rPr>
        <w:t>清算</w:t>
      </w:r>
      <w:r>
        <w:rPr>
          <w:rFonts w:ascii="楷体_GB2312" w:eastAsia="楷体_GB2312" w:cs="楷体_GB2312"/>
          <w:color w:val="000000" w:themeColor="text1"/>
          <w:sz w:val="20"/>
          <w:szCs w:val="20"/>
          <w14:textFill>
            <w14:solidFill>
              <w14:schemeClr w14:val="tx1"/>
            </w14:solidFill>
          </w14:textFill>
        </w:rPr>
        <w:t>时间为准。</w:t>
      </w:r>
    </w:p>
    <w:p w14:paraId="24DC171A">
      <w:pPr>
        <w:snapToGrid w:val="0"/>
        <w:ind w:left="-2" w:leftChars="-1" w:right="53" w:rightChars="22"/>
        <w:rPr>
          <w:color w:val="000000" w:themeColor="text1"/>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7582A71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1．</w:t>
      </w:r>
      <w:r>
        <w:rPr>
          <w:rFonts w:hint="eastAsia" w:ascii="楷体_GB2312" w:eastAsia="楷体_GB2312" w:cs="楷体_GB2312"/>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（1）遇不可</w:t>
      </w:r>
      <w:r>
        <w:rPr>
          <w:rFonts w:ascii="楷体_GB2312" w:eastAsia="楷体_GB2312" w:cs="楷体_GB2312"/>
          <w:color w:val="000000"/>
          <w:sz w:val="20"/>
          <w:szCs w:val="20"/>
        </w:rPr>
        <w:t>抗力事件</w:t>
      </w:r>
      <w:r>
        <w:rPr>
          <w:rFonts w:hint="eastAsia" w:ascii="楷体_GB2312" w:eastAsia="楷体_GB2312" w:cs="楷体_GB2312"/>
          <w:color w:val="000000"/>
          <w:sz w:val="20"/>
          <w:szCs w:val="20"/>
        </w:rPr>
        <w:t>、</w:t>
      </w:r>
      <w:r>
        <w:rPr>
          <w:rFonts w:ascii="楷体_GB2312" w:eastAsia="楷体_GB2312" w:cs="楷体_GB2312"/>
          <w:color w:val="000000"/>
          <w:sz w:val="20"/>
          <w:szCs w:val="20"/>
        </w:rPr>
        <w:t>法律法规</w:t>
      </w:r>
      <w:r>
        <w:rPr>
          <w:rFonts w:hint="eastAsia" w:ascii="楷体_GB2312" w:eastAsia="楷体_GB2312" w:cs="楷体_GB2312"/>
          <w:color w:val="000000"/>
          <w:sz w:val="20"/>
          <w:szCs w:val="20"/>
        </w:rPr>
        <w:t>规定、</w:t>
      </w:r>
      <w:r>
        <w:rPr>
          <w:rFonts w:ascii="楷体_GB2312" w:eastAsia="楷体_GB2312" w:cs="楷体_GB2312"/>
          <w:color w:val="000000"/>
          <w:sz w:val="20"/>
          <w:szCs w:val="20"/>
        </w:rPr>
        <w:t>国家有权机关强制要求等原因导致理财产品无法继续存续</w:t>
      </w:r>
      <w:r>
        <w:rPr>
          <w:rFonts w:hint="eastAsia" w:ascii="楷体_GB2312" w:eastAsia="楷体_GB2312" w:cs="楷体_GB2312"/>
          <w:color w:val="000000"/>
          <w:sz w:val="20"/>
          <w:szCs w:val="20"/>
        </w:rPr>
        <w:t>的；</w:t>
      </w:r>
    </w:p>
    <w:p w14:paraId="7011ECB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（2）遇国家金融政策出现重大调整，或本产品所投资资产市场价格大幅下滑，或信银理财认为将</w:t>
      </w:r>
      <w:r>
        <w:rPr>
          <w:rFonts w:ascii="楷体_GB2312" w:eastAsia="楷体_GB2312" w:cs="楷体_GB2312"/>
          <w:color w:val="000000"/>
          <w:sz w:val="20"/>
          <w:szCs w:val="20"/>
        </w:rPr>
        <w:t>影响理财产品正常运作</w:t>
      </w:r>
      <w:r>
        <w:rPr>
          <w:rFonts w:hint="eastAsia" w:ascii="楷体_GB2312" w:eastAsia="楷体_GB2312" w:cs="楷体_GB2312"/>
          <w:color w:val="000000"/>
          <w:sz w:val="20"/>
          <w:szCs w:val="20"/>
        </w:rPr>
        <w:t>、需要提前终止本产品的其他情形的；</w:t>
      </w:r>
    </w:p>
    <w:p w14:paraId="325B06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（8）法律法规规定或监管部门认定的其他情形。</w:t>
      </w:r>
    </w:p>
    <w:p w14:paraId="23DB911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w:t>
      </w:r>
      <w:r>
        <w:rPr>
          <w:rFonts w:ascii="楷体_GB2312" w:eastAsia="楷体_GB2312" w:cs="楷体_GB2312"/>
          <w:color w:val="000000"/>
          <w:sz w:val="20"/>
          <w:szCs w:val="20"/>
        </w:rPr>
        <w:t>．</w:t>
      </w:r>
      <w:r>
        <w:rPr>
          <w:rFonts w:hint="eastAsia" w:ascii="楷体_GB2312" w:eastAsia="楷体_GB2312" w:cs="楷体_GB2312"/>
          <w:color w:val="000000"/>
          <w:sz w:val="20"/>
          <w:szCs w:val="20"/>
        </w:rPr>
        <w:t>如果信银理财提前终止本理财产品，信银理财将于提前终止日前【2】个工作日通知投资者，并在提前终止日后【5】个工作日内支付投资者应得</w:t>
      </w:r>
      <w:r>
        <w:rPr>
          <w:rFonts w:ascii="楷体_GB2312" w:eastAsia="楷体_GB2312" w:cs="楷体_GB2312"/>
          <w:color w:val="000000"/>
          <w:sz w:val="20"/>
          <w:szCs w:val="20"/>
        </w:rPr>
        <w:t>资金</w:t>
      </w:r>
      <w:r>
        <w:rPr>
          <w:rFonts w:hint="eastAsia" w:ascii="楷体_GB2312" w:eastAsia="楷体_GB2312" w:cs="楷体_GB2312"/>
          <w:color w:val="000000"/>
          <w:sz w:val="20"/>
          <w:szCs w:val="20"/>
        </w:rPr>
        <w:t>。投资者通过</w:t>
      </w:r>
      <w:r>
        <w:rPr>
          <w:rFonts w:ascii="楷体_GB2312" w:eastAsia="楷体_GB2312" w:cs="楷体_GB2312"/>
          <w:color w:val="000000"/>
          <w:sz w:val="20"/>
          <w:szCs w:val="20"/>
        </w:rPr>
        <w:t>代销机构购买本理财产品的</w:t>
      </w:r>
      <w:r>
        <w:rPr>
          <w:rFonts w:hint="eastAsia" w:ascii="楷体_GB2312" w:eastAsia="楷体_GB2312" w:cs="楷体_GB2312"/>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w:t>
      </w:r>
      <w:r>
        <w:rPr>
          <w:rFonts w:ascii="楷体_GB2312" w:eastAsia="楷体_GB2312" w:cs="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eastAsia="楷体_GB2312" w:cs="楷体_GB2312"/>
          <w:color w:val="000000"/>
          <w:sz w:val="20"/>
          <w:szCs w:val="20"/>
        </w:rPr>
      </w:pPr>
    </w:p>
    <w:p w14:paraId="001E63B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hAnsi="Times New Roman" w:eastAsia="楷体_GB2312" w:cs="楷体_GB2312"/>
          <w:color w:val="000000" w:themeColor="text1"/>
          <w:sz w:val="20"/>
          <w:szCs w:val="20"/>
          <w14:textFill>
            <w14:solidFill>
              <w14:schemeClr w14:val="tx1"/>
            </w14:solidFill>
          </w14:textFill>
        </w:rPr>
      </w:pPr>
    </w:p>
    <w:p w14:paraId="0782545B">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十三、产品管理人与投资者权利义务</w:t>
      </w:r>
    </w:p>
    <w:p w14:paraId="45CF0B5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3351CF72">
      <w:pPr>
        <w:snapToGrid w:val="0"/>
        <w:ind w:right="53" w:rightChars="22" w:firstLine="428" w:firstLineChars="213"/>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7085C45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7A2827A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777AF03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A9A2C0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793902D">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675D344A">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42C0B57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1CFE977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1D3314DF">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2ACD857F">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十四、保密</w:t>
      </w:r>
      <w:r>
        <w:rPr>
          <w:rFonts w:ascii="黑体" w:eastAsia="黑体" w:cs="黑体"/>
          <w:b/>
          <w:color w:val="000000" w:themeColor="text1"/>
          <w:sz w:val="20"/>
          <w:szCs w:val="20"/>
          <w14:textFill>
            <w14:solidFill>
              <w14:schemeClr w14:val="tx1"/>
            </w14:solidFill>
          </w14:textFill>
        </w:rPr>
        <w:t>条款</w:t>
      </w:r>
    </w:p>
    <w:p w14:paraId="0263DDBD">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3．根据监管机构要求，管理人（特指除本理财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left="2" w:right="29" w:rightChars="12" w:firstLine="282" w:firstLineChars="141"/>
        <w:rPr>
          <w:rFonts w:ascii="Times New Roman" w:hAnsi="Times New Roman" w:eastAsia="楷体_GB2312" w:cs="楷体_GB2312"/>
          <w:color w:val="000000" w:themeColor="text1"/>
          <w:sz w:val="20"/>
          <w:szCs w:val="20"/>
          <w14:textFill>
            <w14:solidFill>
              <w14:schemeClr w14:val="tx1"/>
            </w14:solidFill>
          </w14:textFill>
        </w:rPr>
      </w:pPr>
    </w:p>
    <w:p w14:paraId="1F461DD7">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十五、特别提示</w:t>
      </w:r>
    </w:p>
    <w:p w14:paraId="0293E191">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7CD903EC">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F9F4230">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十六、违约责任</w:t>
      </w:r>
    </w:p>
    <w:p w14:paraId="0FE10543">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7319308">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5E4B27E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w:t>
      </w:r>
      <w:r>
        <w:rPr>
          <w:rFonts w:hint="eastAsia" w:ascii="楷体_GB2312" w:eastAsia="楷体_GB2312"/>
          <w:color w:val="000000" w:themeColor="text1"/>
          <w:sz w:val="20"/>
          <w:szCs w:val="20"/>
          <w14:textFill>
            <w14:solidFill>
              <w14:schemeClr w14:val="tx1"/>
            </w14:solidFill>
          </w14:textFill>
        </w:rPr>
        <w:t>营业</w:t>
      </w:r>
      <w:r>
        <w:rPr>
          <w:rFonts w:ascii="楷体_GB2312" w:eastAsia="楷体_GB2312"/>
          <w:color w:val="000000" w:themeColor="text1"/>
          <w:sz w:val="20"/>
          <w:szCs w:val="20"/>
          <w14:textFill>
            <w14:solidFill>
              <w14:schemeClr w14:val="tx1"/>
            </w14:solidFill>
          </w14:textFill>
        </w:rPr>
        <w:t>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67BD9647">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C94B9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十九、争议解决</w:t>
      </w:r>
    </w:p>
    <w:p w14:paraId="53FC01F4">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14:paraId="7F9BE105">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7438E81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02C242E4">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14:paraId="6A77407E">
      <w:pPr>
        <w:spacing w:before="100" w:beforeAutospacing="1" w:after="100" w:afterAutospacing="1"/>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u w:val="single"/>
          <w14:textFill>
            <w14:solidFill>
              <w14:schemeClr w14:val="tx1"/>
            </w14:solidFill>
          </w14:textFill>
        </w:rPr>
        <w:t>                                       </w:t>
      </w:r>
    </w:p>
    <w:p w14:paraId="59071E3C">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1CBB167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36531B80">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12D9C461">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590A09A4">
      <w:pPr>
        <w:ind w:left="4440" w:right="440" w:hanging="4440" w:hangingChars="1850"/>
        <w:rPr>
          <w:rFonts w:ascii="Arial" w:hAnsi="Arial"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77FB3896">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DF61205">
      <w:pPr>
        <w:ind w:right="-902" w:rightChars="-376"/>
        <w:rPr>
          <w:rFonts w:ascii="黑体" w:hAnsi="Times New Roman" w:eastAsia="黑体"/>
          <w:color w:val="000000" w:themeColor="text1"/>
          <w14:textFill>
            <w14:solidFill>
              <w14:schemeClr w14:val="tx1"/>
            </w14:solidFill>
          </w14:textFill>
        </w:rPr>
      </w:pPr>
    </w:p>
    <w:p w14:paraId="268B66FA">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机构客户（公章）：</w:t>
      </w:r>
      <w:r>
        <w:rPr>
          <w:rFonts w:ascii="黑体" w:hAnsi="Times New Roman" w:eastAsia="黑体"/>
          <w:color w:val="000000" w:themeColor="text1"/>
          <w14:textFill>
            <w14:solidFill>
              <w14:schemeClr w14:val="tx1"/>
            </w14:solidFill>
          </w14:textFill>
        </w:rPr>
        <w:t xml:space="preserve">                    </w:t>
      </w:r>
    </w:p>
    <w:p w14:paraId="7BC033DC">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771BA6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58BC0A8A">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CB3F808">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6" w:type="default"/>
      <w:footerReference r:id="rId7" w:type="default"/>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AB49C">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16E47E8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59B7B">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16</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F3E38C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410B8">
    <w:pPr>
      <w:pStyle w:val="5"/>
    </w:pPr>
    <w:r>
      <w:t xml:space="preserve">                     </w:t>
    </w:r>
    <w:r>
      <w:rPr>
        <w:rFonts w:hint="eastAsia"/>
      </w:rPr>
      <w:t xml:space="preserve">                                     </w:t>
    </w: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3267B">
    <w:pPr>
      <w:pStyle w:val="5"/>
    </w:pPr>
    <w:r>
      <w:rPr>
        <w:rFonts w:hint="eastAsia"/>
      </w:rPr>
      <w:t>本产品风险评级为【PR1】</w:t>
    </w:r>
    <w:r>
      <w:t xml:space="preserve">                   理财非存款、产品有风险、投资须谨慎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37877AB9"/>
    <w:multiLevelType w:val="multilevel"/>
    <w:tmpl w:val="37877AB9"/>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1837C58"/>
    <w:multiLevelType w:val="multilevel"/>
    <w:tmpl w:val="41837C58"/>
    <w:lvl w:ilvl="0" w:tentative="0">
      <w:start w:val="7"/>
      <w:numFmt w:val="japaneseCounting"/>
      <w:lvlText w:val="%1、"/>
      <w:lvlJc w:val="left"/>
      <w:pPr>
        <w:ind w:left="390" w:hanging="390"/>
      </w:pPr>
      <w:rPr>
        <w:rFonts w:hint="default"/>
      </w:rPr>
    </w:lvl>
    <w:lvl w:ilvl="1" w:tentative="0">
      <w:start w:val="2"/>
      <w:numFmt w:val="japaneseCounting"/>
      <w:lvlText w:val="（%2）"/>
      <w:lvlJc w:val="left"/>
      <w:pPr>
        <w:ind w:left="1140" w:hanging="720"/>
      </w:pPr>
      <w:rPr>
        <w:rFonts w:hint="default" w:ascii="黑体" w:hAnsi="Times New Roman" w:eastAsia="黑体" w:cs="黑体"/>
        <w:sz w:val="2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2360528"/>
    <w:multiLevelType w:val="multilevel"/>
    <w:tmpl w:val="62360528"/>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483E"/>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32"/>
    <w:rsid w:val="001858BE"/>
    <w:rsid w:val="00190A62"/>
    <w:rsid w:val="00190E64"/>
    <w:rsid w:val="00191496"/>
    <w:rsid w:val="00191D0B"/>
    <w:rsid w:val="001930F7"/>
    <w:rsid w:val="00193302"/>
    <w:rsid w:val="001934AA"/>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699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503A"/>
    <w:rsid w:val="00606F08"/>
    <w:rsid w:val="00607679"/>
    <w:rsid w:val="006105B2"/>
    <w:rsid w:val="00611B92"/>
    <w:rsid w:val="00611DA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7F1"/>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24E9"/>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7DB"/>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483"/>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052"/>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47A65"/>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488"/>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A7688"/>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C78F3"/>
    <w:rsid w:val="00BD0151"/>
    <w:rsid w:val="00BD07CD"/>
    <w:rsid w:val="00BD1B90"/>
    <w:rsid w:val="00BD1EF1"/>
    <w:rsid w:val="00BD60FE"/>
    <w:rsid w:val="00BD707C"/>
    <w:rsid w:val="00BD79B7"/>
    <w:rsid w:val="00BE0C23"/>
    <w:rsid w:val="00BE3245"/>
    <w:rsid w:val="00BE3A47"/>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45FC"/>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14E"/>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5D86"/>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12B5"/>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C71EE"/>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6766474"/>
    <w:rsid w:val="1DD80D8F"/>
    <w:rsid w:val="1F3F8CBE"/>
    <w:rsid w:val="20827A42"/>
    <w:rsid w:val="240A6D6E"/>
    <w:rsid w:val="241271C7"/>
    <w:rsid w:val="242E740A"/>
    <w:rsid w:val="25C7594C"/>
    <w:rsid w:val="27DB7970"/>
    <w:rsid w:val="28BA18FC"/>
    <w:rsid w:val="2B8E7BE2"/>
    <w:rsid w:val="2C7FFEAE"/>
    <w:rsid w:val="2CA62F2E"/>
    <w:rsid w:val="2DB57BEF"/>
    <w:rsid w:val="2F9F3A70"/>
    <w:rsid w:val="31527EED"/>
    <w:rsid w:val="31D13800"/>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530E0D"/>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D74B9D"/>
    <w:rsid w:val="6DFBCD08"/>
    <w:rsid w:val="6E1A30C8"/>
    <w:rsid w:val="6F671600"/>
    <w:rsid w:val="6FDD7827"/>
    <w:rsid w:val="71D4D2A0"/>
    <w:rsid w:val="720A1363"/>
    <w:rsid w:val="74BA691F"/>
    <w:rsid w:val="74D8B0F8"/>
    <w:rsid w:val="753938CD"/>
    <w:rsid w:val="7549B4D9"/>
    <w:rsid w:val="75FDA540"/>
    <w:rsid w:val="75FF2F86"/>
    <w:rsid w:val="794859DE"/>
    <w:rsid w:val="7A010931"/>
    <w:rsid w:val="7BBD5FB8"/>
    <w:rsid w:val="7BD427A0"/>
    <w:rsid w:val="7C804BBD"/>
    <w:rsid w:val="7D79C22C"/>
    <w:rsid w:val="7F3F3E67"/>
    <w:rsid w:val="7F6D1472"/>
    <w:rsid w:val="7F7E0C4C"/>
    <w:rsid w:val="7FAF10F5"/>
    <w:rsid w:val="7FBBF40B"/>
    <w:rsid w:val="7FD19487"/>
    <w:rsid w:val="7FDF1373"/>
    <w:rsid w:val="8F3F0887"/>
    <w:rsid w:val="BB679970"/>
    <w:rsid w:val="BFDBDDC5"/>
    <w:rsid w:val="C0FE06E5"/>
    <w:rsid w:val="C9BAD826"/>
    <w:rsid w:val="D7F158F3"/>
    <w:rsid w:val="D9FE61D2"/>
    <w:rsid w:val="DBDF0DDE"/>
    <w:rsid w:val="DCEB56D0"/>
    <w:rsid w:val="DDFFF139"/>
    <w:rsid w:val="E33D528A"/>
    <w:rsid w:val="E3A39137"/>
    <w:rsid w:val="EF7D5941"/>
    <w:rsid w:val="F43BF78F"/>
    <w:rsid w:val="F677018C"/>
    <w:rsid w:val="F7EF9084"/>
    <w:rsid w:val="F7EF923B"/>
    <w:rsid w:val="F97618F3"/>
    <w:rsid w:val="FBBFF20A"/>
    <w:rsid w:val="FBF7BC10"/>
    <w:rsid w:val="FD9D91B4"/>
    <w:rsid w:val="FDA376F8"/>
    <w:rsid w:val="FDDD1930"/>
    <w:rsid w:val="FDF7C689"/>
    <w:rsid w:val="FDFFAFE4"/>
    <w:rsid w:val="FEF61A32"/>
    <w:rsid w:val="FEFF1C33"/>
    <w:rsid w:val="FF734807"/>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28</Pages>
  <Words>4237</Words>
  <Characters>24152</Characters>
  <Lines>201</Lines>
  <Paragraphs>56</Paragraphs>
  <TotalTime>0</TotalTime>
  <ScaleCrop>false</ScaleCrop>
  <LinksUpToDate>false</LinksUpToDate>
  <CharactersWithSpaces>28333</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2024-05-29T00:10:00Z</dcterms:created>
  <dc:creator>王晓明</dc:creator>
  <cp:lastModifiedBy>huangqikai</cp:lastModifiedBy>
  <cp:lastPrinted>2024-06-08T01:24:00Z</cp:lastPrinted>
  <dcterms:modified xsi:type="dcterms:W3CDTF">2026-01-15T08:02:30Z</dcterms:modified>
  <dc:title>产品说明书</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8BF2B1701AE2498E5DCE0F67A2B84A9C_43</vt:lpwstr>
  </property>
</Properties>
</file>