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兴银理财【稳添利最短持有期日开固收类】理财产品</w:t>
      </w:r>
    </w:p>
    <w:p>
      <w:pPr>
        <w:widowControl/>
        <w:spacing w:line="360" w:lineRule="auto"/>
        <w:jc w:val="center"/>
        <w:rPr>
          <w:b/>
          <w:szCs w:val="21"/>
        </w:rPr>
      </w:pPr>
      <w:r>
        <w:rPr>
          <w:rFonts w:hint="eastAsia" w:ascii="黑体" w:hAnsi="黑体" w:eastAsia="黑体"/>
          <w:b/>
          <w:sz w:val="44"/>
          <w:szCs w:val="44"/>
        </w:rPr>
        <w:t>销售文件</w:t>
      </w:r>
    </w:p>
    <w:tbl>
      <w:tblPr>
        <w:tblStyle w:val="10"/>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15"/>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15"/>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兴银理财【稳添利最短持有期日开固收类】理财产品投资协议书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兴银理财【稳添利最短持有期日开固收类】理财产品产品说明书</w:t>
            </w:r>
          </w:p>
        </w:tc>
        <w:tc>
          <w:tcPr>
            <w:tcW w:w="2107" w:type="dxa"/>
          </w:tcPr>
          <w:p>
            <w:pPr>
              <w:pStyle w:val="15"/>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兴银理财【稳添利最短持有期日开固收类】理财产品（代理）销售协议书</w:t>
            </w:r>
          </w:p>
        </w:tc>
        <w:tc>
          <w:tcPr>
            <w:tcW w:w="2107" w:type="dxa"/>
          </w:tcPr>
          <w:p>
            <w:pPr>
              <w:pStyle w:val="15"/>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兴银理财【稳添利最短持有期日开固收类】理财产品风险揭示书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兴银理财【稳添利最短持有期日开固收类】理财产品投资者权益须知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15"/>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rPr>
          <w:rFonts w:ascii="黑体" w:hAnsi="黑体" w:eastAsia="黑体"/>
          <w:kern w:val="0"/>
          <w:szCs w:val="21"/>
        </w:rPr>
        <w:sectPr>
          <w:headerReference r:id="rId3" w:type="default"/>
          <w:footerReference r:id="rId4" w:type="default"/>
          <w:pgSz w:w="11906" w:h="16838"/>
          <w:pgMar w:top="1440" w:right="1800" w:bottom="1440" w:left="1800" w:header="567" w:footer="964" w:gutter="0"/>
          <w:pgNumType w:fmt="decimal"/>
          <w:cols w:space="720" w:num="1"/>
          <w:titlePg/>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12"/>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12"/>
          <w:rFonts w:ascii="黑体" w:hAnsi="黑体" w:eastAsia="黑体" w:cs="宋体"/>
          <w:sz w:val="44"/>
          <w:szCs w:val="44"/>
        </w:rPr>
      </w:pPr>
      <w:r>
        <w:rPr>
          <w:rStyle w:val="12"/>
          <w:rFonts w:hint="eastAsia" w:ascii="黑体" w:hAnsi="黑体" w:eastAsia="黑体" w:cs="宋体"/>
          <w:sz w:val="44"/>
          <w:szCs w:val="44"/>
        </w:rPr>
        <w:t>兴银理财【稳添利最短持有期日开固收类】理财产品</w:t>
      </w:r>
    </w:p>
    <w:p>
      <w:pPr>
        <w:adjustRightInd w:val="0"/>
        <w:spacing w:line="360" w:lineRule="auto"/>
        <w:jc w:val="center"/>
        <w:rPr>
          <w:rStyle w:val="12"/>
          <w:rFonts w:ascii="黑体" w:hAnsi="黑体" w:eastAsia="黑体" w:cs="宋体"/>
          <w:sz w:val="44"/>
          <w:szCs w:val="44"/>
        </w:rPr>
      </w:pPr>
      <w:r>
        <w:rPr>
          <w:rStyle w:val="12"/>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12"/>
          <w:rFonts w:ascii="宋体" w:hAnsi="宋体"/>
          <w:sz w:val="28"/>
          <w:szCs w:val="28"/>
        </w:rPr>
      </w:pPr>
      <w:bookmarkStart w:id="0" w:name="_Toc139991726"/>
      <w:bookmarkStart w:id="1" w:name="_Toc139992301"/>
      <w:bookmarkStart w:id="2" w:name="_Toc123112263"/>
      <w:bookmarkStart w:id="3" w:name="_Toc123112224"/>
      <w:bookmarkStart w:id="4" w:name="_Toc123701383"/>
      <w:r>
        <w:rPr>
          <w:rStyle w:val="12"/>
          <w:rFonts w:hint="eastAsia" w:ascii="宋体" w:hAnsi="宋体"/>
          <w:sz w:val="28"/>
          <w:szCs w:val="28"/>
        </w:rPr>
        <w:t>理财产品管理人：</w:t>
      </w:r>
      <w:bookmarkEnd w:id="0"/>
      <w:bookmarkEnd w:id="1"/>
      <w:bookmarkEnd w:id="2"/>
      <w:bookmarkEnd w:id="3"/>
      <w:bookmarkEnd w:id="4"/>
      <w:r>
        <w:rPr>
          <w:rStyle w:val="12"/>
          <w:rFonts w:hint="eastAsia" w:ascii="宋体" w:hAnsi="宋体"/>
          <w:sz w:val="28"/>
          <w:szCs w:val="28"/>
        </w:rPr>
        <w:t>兴银理财有限责任公司</w:t>
      </w:r>
    </w:p>
    <w:p>
      <w:pPr>
        <w:adjustRightInd w:val="0"/>
        <w:spacing w:line="360" w:lineRule="auto"/>
        <w:jc w:val="center"/>
        <w:rPr>
          <w:rStyle w:val="12"/>
          <w:rFonts w:ascii="黑体" w:hAnsi="黑体" w:eastAsia="黑体" w:cs="宋体"/>
          <w:sz w:val="28"/>
          <w:szCs w:val="28"/>
        </w:rPr>
      </w:pPr>
      <w:bookmarkStart w:id="5" w:name="_Toc123701384"/>
      <w:bookmarkStart w:id="6" w:name="_Toc139991727"/>
      <w:bookmarkStart w:id="7" w:name="_Toc123112264"/>
      <w:bookmarkStart w:id="8" w:name="_Toc139992302"/>
      <w:bookmarkStart w:id="9" w:name="_Toc123112225"/>
    </w:p>
    <w:bookmarkEnd w:id="5"/>
    <w:bookmarkEnd w:id="6"/>
    <w:bookmarkEnd w:id="7"/>
    <w:bookmarkEnd w:id="8"/>
    <w:bookmarkEnd w:id="9"/>
    <w:p>
      <w:pPr>
        <w:adjustRightInd w:val="0"/>
        <w:spacing w:line="360" w:lineRule="auto"/>
        <w:jc w:val="center"/>
        <w:rPr>
          <w:rStyle w:val="12"/>
          <w:rFonts w:ascii="黑体" w:hAnsi="黑体" w:eastAsia="黑体" w:cs="宋体"/>
          <w:sz w:val="28"/>
          <w:szCs w:val="28"/>
        </w:rPr>
      </w:pPr>
    </w:p>
    <w:p>
      <w:pPr>
        <w:adjustRightInd w:val="0"/>
        <w:spacing w:line="360" w:lineRule="auto"/>
        <w:jc w:val="center"/>
        <w:rPr>
          <w:rStyle w:val="12"/>
          <w:rFonts w:ascii="宋体" w:hAnsi="宋体"/>
          <w:sz w:val="28"/>
          <w:szCs w:val="28"/>
        </w:rPr>
      </w:pPr>
      <w:r>
        <w:rPr>
          <w:rStyle w:val="12"/>
          <w:rFonts w:hint="eastAsia" w:ascii="宋体" w:hAnsi="宋体"/>
          <w:sz w:val="28"/>
          <w:szCs w:val="28"/>
        </w:rPr>
        <w:t>日期</w:t>
      </w:r>
      <w:r>
        <w:rPr>
          <w:rStyle w:val="12"/>
          <w:rFonts w:ascii="宋体" w:hAnsi="宋体"/>
          <w:sz w:val="28"/>
          <w:szCs w:val="28"/>
        </w:rPr>
        <w:t>：</w:t>
      </w:r>
      <w:r>
        <w:rPr>
          <w:rStyle w:val="12"/>
          <w:rFonts w:hint="eastAsia" w:ascii="宋体" w:hAnsi="宋体"/>
          <w:sz w:val="28"/>
          <w:szCs w:val="28"/>
        </w:rPr>
        <w:t>【</w:t>
      </w:r>
      <w:r>
        <w:rPr>
          <w:rStyle w:val="12"/>
          <w:rFonts w:ascii="宋体" w:hAnsi="宋体"/>
          <w:sz w:val="28"/>
          <w:szCs w:val="28"/>
        </w:rPr>
        <w:t>2024</w:t>
      </w:r>
      <w:r>
        <w:rPr>
          <w:rStyle w:val="12"/>
          <w:rFonts w:hint="eastAsia" w:ascii="宋体" w:hAnsi="宋体"/>
          <w:sz w:val="28"/>
          <w:szCs w:val="28"/>
        </w:rPr>
        <w:t>】年【</w:t>
      </w:r>
      <w:r>
        <w:rPr>
          <w:rStyle w:val="12"/>
          <w:rFonts w:hint="eastAsia" w:ascii="宋体" w:hAnsi="宋体"/>
          <w:sz w:val="28"/>
          <w:szCs w:val="28"/>
          <w:lang w:val="en-US" w:eastAsia="zh-CN"/>
        </w:rPr>
        <w:t>10</w:t>
      </w:r>
      <w:r>
        <w:rPr>
          <w:rStyle w:val="12"/>
          <w:rFonts w:hint="eastAsia" w:ascii="宋体" w:hAnsi="宋体"/>
          <w:sz w:val="28"/>
          <w:szCs w:val="28"/>
        </w:rPr>
        <w:t>】月</w:t>
      </w:r>
    </w:p>
    <w:p>
      <w:pPr>
        <w:tabs>
          <w:tab w:val="left" w:pos="8070"/>
          <w:tab w:val="right" w:pos="8306"/>
        </w:tabs>
        <w:autoSpaceDE w:val="0"/>
        <w:autoSpaceDN w:val="0"/>
        <w:adjustRightInd w:val="0"/>
        <w:snapToGrid w:val="0"/>
        <w:spacing w:before="156" w:beforeLines="50" w:line="360" w:lineRule="auto"/>
        <w:rPr>
          <w:rFonts w:hint="eastAsia" w:eastAsia="宋体"/>
          <w:bCs/>
          <w:sz w:val="32"/>
          <w:lang w:eastAsia="zh-CN"/>
        </w:rPr>
      </w:pP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8"/>
              <w:snapToGrid w:val="0"/>
              <w:spacing w:before="0" w:beforeAutospacing="0" w:after="0" w:afterAutospacing="0"/>
              <w:jc w:val="both"/>
              <w:rPr>
                <w:rFonts w:ascii="黑体" w:hAnsi="黑体" w:eastAsia="黑体"/>
                <w:bCs/>
                <w:sz w:val="18"/>
                <w:szCs w:val="18"/>
              </w:rPr>
            </w:pPr>
          </w:p>
          <w:p>
            <w:pPr>
              <w:pStyle w:val="8"/>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701386"/>
      <w:bookmarkStart w:id="11" w:name="_Toc139991729"/>
      <w:bookmarkStart w:id="12" w:name="_Toc123112227"/>
      <w:bookmarkStart w:id="13" w:name="_Toc123112266"/>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9"/>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【兴银理财稳添利周盈20号(7天最短持有期)日开固收类理财产品】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【兴银稳添利周盈20号</w:t>
            </w:r>
            <w:r>
              <w:rPr>
                <w:rFonts w:hint="eastAsia" w:ascii="宋体" w:hAnsi="宋体"/>
                <w:bCs/>
                <w:sz w:val="18"/>
                <w:szCs w:val="18"/>
                <w:lang w:val="en-US" w:eastAsia="zh-CN"/>
              </w:rPr>
              <w:t>C</w:t>
            </w:r>
            <w:r>
              <w:rPr>
                <w:rFonts w:hint="eastAsia" w:ascii="宋体" w:hAnsi="宋体"/>
                <w:bCs/>
                <w:sz w:val="18"/>
                <w:szCs w:val="18"/>
              </w:rPr>
              <w:t>（兴普惠）】</w:t>
            </w:r>
            <w:r>
              <w:rPr>
                <w:rFonts w:hint="eastAsia" w:ascii="宋体" w:hAnsi="宋体"/>
                <w:bCs/>
                <w:color w:val="000000" w:themeColor="text1"/>
                <w:sz w:val="18"/>
                <w:szCs w:val="18"/>
                <w14:textFill>
                  <w14:solidFill>
                    <w14:schemeClr w14:val="tx1"/>
                  </w14:solidFill>
                </w14:textFill>
              </w:rPr>
              <w:t>（适用【</w:t>
            </w:r>
            <w:r>
              <w:rPr>
                <w:rFonts w:hint="eastAsia" w:ascii="宋体" w:hAnsi="宋体"/>
                <w:bCs/>
                <w:color w:val="000000" w:themeColor="text1"/>
                <w:sz w:val="18"/>
                <w:szCs w:val="18"/>
                <w:lang w:val="en-US" w:eastAsia="zh-CN"/>
                <w14:textFill>
                  <w14:solidFill>
                    <w14:schemeClr w14:val="tx1"/>
                  </w14:solidFill>
                </w14:textFill>
              </w:rPr>
              <w:t>C</w:t>
            </w:r>
            <w:r>
              <w:rPr>
                <w:rFonts w:hint="eastAsia" w:ascii="宋体" w:hAnsi="宋体"/>
                <w:bCs/>
                <w:color w:val="000000" w:themeColor="text1"/>
                <w:sz w:val="18"/>
                <w:szCs w:val="18"/>
                <w14:textFill>
                  <w14:solidFill>
                    <w14:schemeClr w14:val="tx1"/>
                  </w14:solidFill>
                </w14:textFill>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【Z7002024001170】注：投资者可依据理财产品登记编码在中国理财网查询产品信息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9K400200</w:t>
            </w:r>
            <w:r>
              <w:rPr>
                <w:rFonts w:ascii="宋体" w:hAnsi="宋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389" w:type="dxa"/>
            <w:gridSpan w:val="3"/>
            <w:shd w:val="solid" w:color="FFFFFF" w:fill="FFFFFF"/>
            <w:vAlign w:val="center"/>
          </w:tcPr>
          <w:p>
            <w:pPr>
              <w:spacing w:line="320" w:lineRule="exact"/>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【9K40020</w:t>
            </w:r>
            <w:r>
              <w:rPr>
                <w:rFonts w:hint="eastAsia" w:ascii="宋体" w:hAnsi="宋体"/>
                <w:bCs/>
                <w:color w:val="000000" w:themeColor="text1"/>
                <w:sz w:val="18"/>
                <w:szCs w:val="18"/>
                <w:lang w:val="en-US" w:eastAsia="zh-CN"/>
                <w14:textFill>
                  <w14:solidFill>
                    <w14:schemeClr w14:val="tx1"/>
                  </w14:solidFill>
                </w14:textFill>
              </w:rPr>
              <w:t>C</w:t>
            </w:r>
            <w:r>
              <w:rPr>
                <w:rFonts w:hint="eastAsia" w:ascii="宋体" w:hAnsi="宋体"/>
                <w:bCs/>
                <w:color w:val="000000" w:themeColor="text1"/>
                <w:sz w:val="18"/>
                <w:szCs w:val="18"/>
                <w14:textFill>
                  <w14:solidFill>
                    <w14:schemeClr w14:val="tx1"/>
                  </w14:solidFill>
                </w14:textFill>
              </w:rPr>
              <w:t>】（适用【</w:t>
            </w:r>
            <w:r>
              <w:rPr>
                <w:rFonts w:hint="eastAsia" w:ascii="宋体" w:hAnsi="宋体"/>
                <w:bCs/>
                <w:color w:val="000000" w:themeColor="text1"/>
                <w:sz w:val="18"/>
                <w:szCs w:val="18"/>
                <w:lang w:val="en-US" w:eastAsia="zh-CN"/>
                <w14:textFill>
                  <w14:solidFill>
                    <w14:schemeClr w14:val="tx1"/>
                  </w14:solidFill>
                </w14:textFill>
              </w:rPr>
              <w:t>C</w:t>
            </w:r>
            <w:r>
              <w:rPr>
                <w:rFonts w:hint="eastAsia" w:ascii="宋体" w:hAnsi="宋体"/>
                <w:bCs/>
                <w:color w:val="000000" w:themeColor="text1"/>
                <w:sz w:val="18"/>
                <w:szCs w:val="18"/>
                <w14:textFill>
                  <w14:solidFill>
                    <w14:schemeClr w14:val="tx1"/>
                  </w14:solidFill>
                </w14:textFill>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16"/>
            <w:spacing w:line="360" w:lineRule="auto"/>
            <w:jc w:val="center"/>
          </w:pPr>
          <w:r>
            <w:rPr>
              <w:lang w:val="zh-CN"/>
            </w:rPr>
            <w:t>目录</w:t>
          </w:r>
        </w:p>
        <w:p>
          <w:pPr>
            <w:pStyle w:val="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8</w:t>
          </w:r>
          <w:r>
            <w:fldChar w:fldCharType="end"/>
          </w:r>
          <w:r>
            <w:fldChar w:fldCharType="end"/>
          </w:r>
        </w:p>
        <w:p>
          <w:pPr>
            <w:pStyle w:val="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9</w:t>
          </w:r>
          <w:r>
            <w:fldChar w:fldCharType="end"/>
          </w:r>
          <w:r>
            <w:fldChar w:fldCharType="end"/>
          </w:r>
        </w:p>
        <w:p>
          <w:pPr>
            <w:pStyle w:val="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12</w:t>
          </w:r>
          <w:r>
            <w:fldChar w:fldCharType="end"/>
          </w:r>
          <w:r>
            <w:fldChar w:fldCharType="end"/>
          </w:r>
        </w:p>
        <w:p>
          <w:pPr>
            <w:pStyle w:val="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13</w:t>
          </w:r>
          <w:r>
            <w:fldChar w:fldCharType="end"/>
          </w:r>
          <w:r>
            <w:fldChar w:fldCharType="end"/>
          </w:r>
        </w:p>
        <w:p>
          <w:pPr>
            <w:pStyle w:val="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14</w:t>
          </w:r>
          <w:r>
            <w:fldChar w:fldCharType="end"/>
          </w:r>
          <w:r>
            <w:fldChar w:fldCharType="end"/>
          </w:r>
        </w:p>
        <w:p>
          <w:pPr>
            <w:pStyle w:val="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15</w:t>
          </w:r>
          <w:r>
            <w:fldChar w:fldCharType="end"/>
          </w:r>
          <w:r>
            <w:fldChar w:fldCharType="end"/>
          </w:r>
        </w:p>
        <w:p>
          <w:pPr>
            <w:pStyle w:val="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16</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141703880"/>
      <w:bookmarkStart w:id="15" w:name="_Toc32639"/>
      <w:bookmarkStart w:id="16" w:name="_Toc15517"/>
      <w:bookmarkStart w:id="17" w:name="_Toc123701389"/>
      <w:bookmarkStart w:id="18" w:name="_Toc4867"/>
      <w:bookmarkStart w:id="19" w:name="_Toc4966"/>
      <w:bookmarkStart w:id="20" w:name="_Toc29629"/>
      <w:bookmarkStart w:id="21" w:name="_Toc139991730"/>
      <w:bookmarkStart w:id="22" w:name="_Toc30935"/>
      <w:bookmarkStart w:id="23" w:name="_Toc123112268"/>
      <w:bookmarkStart w:id="24" w:name="_Toc26897"/>
      <w:bookmarkStart w:id="25" w:name="_Toc23386"/>
      <w:bookmarkStart w:id="26" w:name="_Toc8727"/>
      <w:bookmarkStart w:id="27" w:name="_Toc6306"/>
      <w:bookmarkStart w:id="28" w:name="_Toc123112229"/>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22864"/>
      <w:bookmarkStart w:id="33" w:name="_Toc819"/>
      <w:bookmarkStart w:id="34" w:name="_Toc2465"/>
      <w:bookmarkStart w:id="35" w:name="_Toc24860"/>
      <w:bookmarkStart w:id="36" w:name="_Toc258829399"/>
      <w:bookmarkStart w:id="37" w:name="_Toc13020"/>
      <w:bookmarkStart w:id="38" w:name="_Toc21301"/>
      <w:bookmarkStart w:id="39" w:name="_Toc3224"/>
      <w:bookmarkStart w:id="40" w:name="_Toc19592"/>
      <w:bookmarkStart w:id="41" w:name="_Toc15067"/>
      <w:bookmarkStart w:id="42" w:name="_Toc6617"/>
      <w:r>
        <w:rPr>
          <w:rFonts w:hint="eastAsia" w:ascii="Times New Roman"/>
          <w:color w:val="auto"/>
          <w:sz w:val="30"/>
        </w:rPr>
        <w:t>前言</w:t>
      </w:r>
      <w:bookmarkEnd w:id="29"/>
    </w:p>
    <w:p>
      <w:pPr>
        <w:pStyle w:val="17"/>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20627"/>
      <w:bookmarkStart w:id="48" w:name="_Toc545"/>
      <w:bookmarkStart w:id="49" w:name="_Toc22708"/>
      <w:bookmarkStart w:id="50" w:name="_Toc6149"/>
      <w:bookmarkStart w:id="51" w:name="_Toc18631"/>
      <w:bookmarkStart w:id="52" w:name="_Toc6683"/>
      <w:bookmarkStart w:id="53" w:name="_Toc20318"/>
      <w:bookmarkStart w:id="54" w:name="_Toc13288"/>
      <w:bookmarkStart w:id="55" w:name="_Toc733"/>
      <w:bookmarkStart w:id="56" w:name="_Toc74065740"/>
      <w:bookmarkStart w:id="57" w:name="_Toc24571"/>
      <w:bookmarkStart w:id="58" w:name="_Toc233456272"/>
      <w:bookmarkStart w:id="59" w:name="_Toc258829400"/>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10"/>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【】类</w:t>
            </w:r>
            <w:r>
              <w:rPr>
                <w:rFonts w:ascii="宋体" w:hAnsi="宋体" w:cs="宋体"/>
                <w:b/>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
                <w:bCs/>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b/>
                <w:bCs/>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投资者法定代表人或授权代理人（签字或盖章）：</w:t>
            </w:r>
          </w:p>
          <w:p>
            <w:pPr>
              <w:spacing w:line="360" w:lineRule="auto"/>
              <w:rPr>
                <w:sz w:val="18"/>
                <w:szCs w:val="18"/>
              </w:rPr>
            </w:pPr>
            <w:r>
              <w:rPr>
                <w:rFonts w:hint="eastAsia"/>
                <w:sz w:val="18"/>
                <w:szCs w:val="18"/>
              </w:rPr>
              <w:t>日期：</w:t>
            </w:r>
          </w:p>
        </w:tc>
      </w:tr>
    </w:tbl>
    <w:p>
      <w:pPr>
        <w:spacing w:line="360" w:lineRule="auto"/>
        <w:jc w:val="left"/>
        <w:rPr>
          <w:rFonts w:hint="eastAsia"/>
          <w:bCs/>
          <w:lang w:eastAsia="zh-CN"/>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sectPr>
          <w:headerReference r:id="rId5" w:type="default"/>
          <w:footerReference r:id="rId6" w:type="default"/>
          <w:pgSz w:w="11906" w:h="16838"/>
          <w:pgMar w:top="1440" w:right="1800" w:bottom="1440" w:left="1800" w:header="567" w:footer="964" w:gutter="0"/>
          <w:pgNumType w:fmt="decimal"/>
          <w:cols w:space="720" w:num="1"/>
          <w:docGrid w:type="lines" w:linePitch="312" w:charSpace="0"/>
        </w:sectPr>
      </w:pPr>
    </w:p>
    <w:p>
      <w:pPr>
        <w:widowControl/>
        <w:spacing w:line="360" w:lineRule="auto"/>
        <w:jc w:val="center"/>
        <w:rPr>
          <w:rStyle w:val="12"/>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黑体" w:hAnsi="黑体" w:eastAsia="黑体"/>
          <w:sz w:val="44"/>
          <w:szCs w:val="44"/>
        </w:rPr>
      </w:pPr>
      <w:r>
        <w:rPr>
          <w:rStyle w:val="12"/>
          <w:rFonts w:hint="eastAsia" w:ascii="黑体" w:hAnsi="黑体" w:eastAsia="黑体"/>
          <w:sz w:val="44"/>
          <w:szCs w:val="44"/>
        </w:rPr>
        <w:t>兴银理财【稳添利最短持有期日开固收类】理财产品</w:t>
      </w:r>
    </w:p>
    <w:p>
      <w:pPr>
        <w:adjustRightInd w:val="0"/>
        <w:spacing w:line="360" w:lineRule="auto"/>
        <w:jc w:val="center"/>
        <w:rPr>
          <w:rStyle w:val="12"/>
          <w:rFonts w:ascii="黑体" w:hAnsi="黑体" w:eastAsia="黑体"/>
          <w:sz w:val="44"/>
          <w:szCs w:val="44"/>
        </w:rPr>
      </w:pPr>
      <w:r>
        <w:rPr>
          <w:rStyle w:val="12"/>
          <w:rFonts w:hint="eastAsia" w:ascii="黑体" w:hAnsi="黑体" w:eastAsia="黑体"/>
          <w:sz w:val="44"/>
          <w:szCs w:val="44"/>
        </w:rPr>
        <w:t>产品说明书</w:t>
      </w:r>
    </w:p>
    <w:p>
      <w:pPr>
        <w:adjustRightInd w:val="0"/>
        <w:spacing w:line="360" w:lineRule="auto"/>
        <w:jc w:val="center"/>
        <w:rPr>
          <w:rStyle w:val="12"/>
          <w:rFonts w:ascii="宋体" w:hAnsi="宋体"/>
          <w:sz w:val="32"/>
          <w:szCs w:val="32"/>
        </w:rPr>
      </w:pPr>
    </w:p>
    <w:p>
      <w:pPr>
        <w:adjustRightInd w:val="0"/>
        <w:spacing w:line="360" w:lineRule="auto"/>
        <w:rPr>
          <w:rStyle w:val="12"/>
          <w:rFonts w:ascii="黑体" w:hAnsi="黑体" w:eastAsia="黑体"/>
          <w:bCs w:val="0"/>
          <w:sz w:val="28"/>
          <w:szCs w:val="28"/>
        </w:rPr>
      </w:pPr>
    </w:p>
    <w:p>
      <w:pPr>
        <w:adjustRightInd w:val="0"/>
        <w:spacing w:line="360" w:lineRule="auto"/>
        <w:jc w:val="center"/>
        <w:rPr>
          <w:rStyle w:val="12"/>
          <w:rFonts w:ascii="黑体" w:hAnsi="黑体" w:eastAsia="黑体"/>
          <w:bCs w:val="0"/>
          <w:sz w:val="28"/>
          <w:szCs w:val="28"/>
        </w:rPr>
      </w:pPr>
    </w:p>
    <w:p>
      <w:pPr>
        <w:adjustRightInd w:val="0"/>
        <w:spacing w:line="360" w:lineRule="auto"/>
        <w:jc w:val="center"/>
        <w:rPr>
          <w:rStyle w:val="12"/>
          <w:rFonts w:ascii="黑体" w:hAnsi="黑体" w:eastAsia="黑体"/>
          <w:bCs w:val="0"/>
          <w:sz w:val="28"/>
          <w:szCs w:val="28"/>
        </w:rPr>
      </w:pPr>
    </w:p>
    <w:p>
      <w:pPr>
        <w:adjustRightInd w:val="0"/>
        <w:spacing w:line="360" w:lineRule="auto"/>
        <w:jc w:val="center"/>
        <w:rPr>
          <w:rStyle w:val="12"/>
          <w:rFonts w:ascii="宋体" w:hAnsi="宋体" w:cs="Times New Roman"/>
          <w:sz w:val="32"/>
          <w:szCs w:val="32"/>
        </w:rPr>
      </w:pPr>
      <w:r>
        <w:rPr>
          <w:rStyle w:val="12"/>
          <w:rFonts w:hint="eastAsia" w:ascii="宋体" w:hAnsi="宋体" w:cs="Times New Roman"/>
          <w:sz w:val="32"/>
          <w:szCs w:val="32"/>
        </w:rPr>
        <w:t>理财产品管理人：兴银理财有限责任公司</w:t>
      </w: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cs="Times New Roman"/>
          <w:sz w:val="32"/>
          <w:szCs w:val="32"/>
        </w:rPr>
      </w:pPr>
      <w:r>
        <w:rPr>
          <w:rStyle w:val="12"/>
          <w:rFonts w:hint="eastAsia" w:ascii="宋体" w:hAnsi="宋体" w:cs="Times New Roman"/>
          <w:sz w:val="32"/>
          <w:szCs w:val="32"/>
        </w:rPr>
        <w:t>日期</w:t>
      </w:r>
      <w:r>
        <w:rPr>
          <w:rStyle w:val="12"/>
          <w:rFonts w:ascii="宋体" w:hAnsi="宋体" w:cs="Times New Roman"/>
          <w:sz w:val="32"/>
          <w:szCs w:val="32"/>
        </w:rPr>
        <w:t>：</w:t>
      </w:r>
      <w:r>
        <w:rPr>
          <w:rStyle w:val="12"/>
          <w:rFonts w:hint="eastAsia" w:ascii="宋体" w:hAnsi="宋体" w:cs="Times New Roman"/>
          <w:sz w:val="32"/>
          <w:szCs w:val="32"/>
        </w:rPr>
        <w:t>【2</w:t>
      </w:r>
      <w:r>
        <w:rPr>
          <w:rStyle w:val="12"/>
          <w:rFonts w:ascii="宋体" w:hAnsi="宋体" w:cs="Times New Roman"/>
          <w:sz w:val="32"/>
          <w:szCs w:val="32"/>
        </w:rPr>
        <w:t>024</w:t>
      </w:r>
      <w:r>
        <w:rPr>
          <w:rStyle w:val="12"/>
          <w:rFonts w:hint="eastAsia" w:ascii="宋体" w:hAnsi="宋体" w:cs="Times New Roman"/>
          <w:sz w:val="32"/>
          <w:szCs w:val="32"/>
        </w:rPr>
        <w:t>】年【</w:t>
      </w:r>
      <w:r>
        <w:rPr>
          <w:rStyle w:val="12"/>
          <w:rFonts w:hint="eastAsia" w:ascii="宋体" w:hAnsi="宋体" w:cs="Times New Roman"/>
          <w:sz w:val="32"/>
          <w:szCs w:val="32"/>
          <w:lang w:val="en-US" w:eastAsia="zh-CN"/>
        </w:rPr>
        <w:t>10</w:t>
      </w:r>
      <w:r>
        <w:rPr>
          <w:rStyle w:val="12"/>
          <w:rFonts w:hint="eastAsia" w:ascii="宋体" w:hAnsi="宋体" w:cs="Times New Roman"/>
          <w:sz w:val="32"/>
          <w:szCs w:val="32"/>
        </w:rPr>
        <w:t>】月</w:t>
      </w:r>
    </w:p>
    <w:p>
      <w:pPr>
        <w:rPr>
          <w:rStyle w:val="12"/>
          <w:rFonts w:ascii="宋体" w:hAnsi="宋体"/>
          <w:sz w:val="32"/>
          <w:szCs w:val="32"/>
        </w:rPr>
      </w:pPr>
      <w:r>
        <w:rPr>
          <w:rStyle w:val="12"/>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18"/>
            <w:spacing w:line="360" w:lineRule="auto"/>
            <w:jc w:val="center"/>
          </w:pPr>
          <w:bookmarkStart w:id="66" w:name="_Toc78276587"/>
          <w:r>
            <w:rPr>
              <w:lang w:val="zh-CN"/>
            </w:rPr>
            <w:t>目录</w:t>
          </w:r>
        </w:p>
        <w:p>
          <w:pPr>
            <w:pStyle w:val="6"/>
            <w:tabs>
              <w:tab w:val="right" w:leader="dot" w:pos="8306"/>
              <w:tab w:val="clear" w:pos="8296"/>
            </w:tabs>
          </w:pPr>
          <w:r>
            <w:fldChar w:fldCharType="begin"/>
          </w:r>
          <w:r>
            <w:instrText xml:space="preserve"> TOC \o "1-3" \h \z \u </w:instrText>
          </w:r>
          <w:r>
            <w:fldChar w:fldCharType="separate"/>
          </w:r>
          <w:r>
            <w:fldChar w:fldCharType="begin"/>
          </w:r>
          <w:r>
            <w:instrText xml:space="preserve"> HYPERLINK \l "_Toc26572"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_Toc26572 \h </w:instrText>
          </w:r>
          <w:r>
            <w:fldChar w:fldCharType="separate"/>
          </w:r>
          <w:r>
            <w:t>20</w:t>
          </w:r>
          <w:r>
            <w:fldChar w:fldCharType="end"/>
          </w:r>
          <w:r>
            <w:fldChar w:fldCharType="end"/>
          </w:r>
        </w:p>
        <w:p>
          <w:pPr>
            <w:pStyle w:val="6"/>
            <w:tabs>
              <w:tab w:val="right" w:leader="dot" w:pos="8306"/>
              <w:tab w:val="clear" w:pos="8296"/>
            </w:tabs>
          </w:pPr>
          <w:r>
            <w:fldChar w:fldCharType="begin"/>
          </w:r>
          <w:r>
            <w:instrText xml:space="preserve"> HYPERLINK \l "_Toc14559" </w:instrText>
          </w:r>
          <w:r>
            <w:fldChar w:fldCharType="separate"/>
          </w:r>
          <w:r>
            <w:rPr>
              <w:rFonts w:hint="eastAsia" w:hAnsi="宋体"/>
              <w:szCs w:val="28"/>
            </w:rPr>
            <w:t xml:space="preserve">第二条  理财产品基本情况 </w:t>
          </w:r>
          <w:r>
            <w:tab/>
          </w:r>
          <w:r>
            <w:fldChar w:fldCharType="begin"/>
          </w:r>
          <w:r>
            <w:instrText xml:space="preserve"> PAGEREF _Toc14559 \h </w:instrText>
          </w:r>
          <w:r>
            <w:fldChar w:fldCharType="separate"/>
          </w:r>
          <w:r>
            <w:t>25</w:t>
          </w:r>
          <w:r>
            <w:fldChar w:fldCharType="end"/>
          </w:r>
          <w:r>
            <w:fldChar w:fldCharType="end"/>
          </w:r>
        </w:p>
        <w:p>
          <w:pPr>
            <w:pStyle w:val="6"/>
            <w:tabs>
              <w:tab w:val="right" w:leader="dot" w:pos="8306"/>
              <w:tab w:val="clear" w:pos="8296"/>
            </w:tabs>
          </w:pPr>
          <w:r>
            <w:fldChar w:fldCharType="begin"/>
          </w:r>
          <w:r>
            <w:instrText xml:space="preserve"> HYPERLINK \l "_Toc4403"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_Toc4403 \h </w:instrText>
          </w:r>
          <w:r>
            <w:fldChar w:fldCharType="separate"/>
          </w:r>
          <w:r>
            <w:t>31</w:t>
          </w:r>
          <w:r>
            <w:fldChar w:fldCharType="end"/>
          </w:r>
          <w:r>
            <w:fldChar w:fldCharType="end"/>
          </w:r>
        </w:p>
        <w:p>
          <w:pPr>
            <w:pStyle w:val="6"/>
            <w:tabs>
              <w:tab w:val="right" w:leader="dot" w:pos="8306"/>
              <w:tab w:val="clear" w:pos="8296"/>
            </w:tabs>
          </w:pPr>
          <w:r>
            <w:fldChar w:fldCharType="begin"/>
          </w:r>
          <w:r>
            <w:instrText xml:space="preserve"> HYPERLINK \l "_Toc6529"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_Toc6529 \h </w:instrText>
          </w:r>
          <w:r>
            <w:fldChar w:fldCharType="separate"/>
          </w:r>
          <w:r>
            <w:t>33</w:t>
          </w:r>
          <w:r>
            <w:fldChar w:fldCharType="end"/>
          </w:r>
          <w:r>
            <w:fldChar w:fldCharType="end"/>
          </w:r>
        </w:p>
        <w:p>
          <w:pPr>
            <w:pStyle w:val="6"/>
            <w:tabs>
              <w:tab w:val="right" w:leader="dot" w:pos="8306"/>
              <w:tab w:val="clear" w:pos="8296"/>
            </w:tabs>
          </w:pPr>
          <w:r>
            <w:fldChar w:fldCharType="begin"/>
          </w:r>
          <w:r>
            <w:instrText xml:space="preserve"> HYPERLINK \l "_Toc12517"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_Toc12517 \h </w:instrText>
          </w:r>
          <w:r>
            <w:fldChar w:fldCharType="separate"/>
          </w:r>
          <w:r>
            <w:t>37</w:t>
          </w:r>
          <w:r>
            <w:fldChar w:fldCharType="end"/>
          </w:r>
          <w:r>
            <w:fldChar w:fldCharType="end"/>
          </w:r>
        </w:p>
        <w:p>
          <w:pPr>
            <w:pStyle w:val="6"/>
            <w:tabs>
              <w:tab w:val="right" w:leader="dot" w:pos="8306"/>
              <w:tab w:val="clear" w:pos="8296"/>
            </w:tabs>
          </w:pPr>
          <w:r>
            <w:fldChar w:fldCharType="begin"/>
          </w:r>
          <w:r>
            <w:instrText xml:space="preserve"> HYPERLINK \l "_Toc27967"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_Toc27967 \h </w:instrText>
          </w:r>
          <w:r>
            <w:fldChar w:fldCharType="separate"/>
          </w:r>
          <w:r>
            <w:t>40</w:t>
          </w:r>
          <w:r>
            <w:fldChar w:fldCharType="end"/>
          </w:r>
          <w:r>
            <w:fldChar w:fldCharType="end"/>
          </w:r>
        </w:p>
        <w:p>
          <w:pPr>
            <w:pStyle w:val="6"/>
            <w:tabs>
              <w:tab w:val="right" w:leader="dot" w:pos="8306"/>
              <w:tab w:val="clear" w:pos="8296"/>
            </w:tabs>
          </w:pPr>
          <w:r>
            <w:fldChar w:fldCharType="begin"/>
          </w:r>
          <w:r>
            <w:instrText xml:space="preserve"> HYPERLINK \l "_Toc13903"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_Toc13903 \h </w:instrText>
          </w:r>
          <w:r>
            <w:fldChar w:fldCharType="separate"/>
          </w:r>
          <w:r>
            <w:t>41</w:t>
          </w:r>
          <w:r>
            <w:fldChar w:fldCharType="end"/>
          </w:r>
          <w:r>
            <w:fldChar w:fldCharType="end"/>
          </w:r>
        </w:p>
        <w:p>
          <w:pPr>
            <w:pStyle w:val="6"/>
            <w:tabs>
              <w:tab w:val="right" w:leader="dot" w:pos="8306"/>
              <w:tab w:val="clear" w:pos="8296"/>
            </w:tabs>
          </w:pPr>
          <w:r>
            <w:fldChar w:fldCharType="begin"/>
          </w:r>
          <w:r>
            <w:instrText xml:space="preserve"> HYPERLINK \l "_Toc4020"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_Toc4020 \h </w:instrText>
          </w:r>
          <w:r>
            <w:fldChar w:fldCharType="separate"/>
          </w:r>
          <w:r>
            <w:t>45</w:t>
          </w:r>
          <w:r>
            <w:fldChar w:fldCharType="end"/>
          </w:r>
          <w:r>
            <w:fldChar w:fldCharType="end"/>
          </w:r>
        </w:p>
        <w:p>
          <w:pPr>
            <w:pStyle w:val="6"/>
            <w:tabs>
              <w:tab w:val="right" w:leader="dot" w:pos="8306"/>
              <w:tab w:val="clear" w:pos="8296"/>
            </w:tabs>
          </w:pPr>
          <w:r>
            <w:fldChar w:fldCharType="begin"/>
          </w:r>
          <w:r>
            <w:instrText xml:space="preserve"> HYPERLINK \l "_Toc6394"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_Toc6394 \h </w:instrText>
          </w:r>
          <w:r>
            <w:fldChar w:fldCharType="separate"/>
          </w:r>
          <w:r>
            <w:t>46</w:t>
          </w:r>
          <w:r>
            <w:fldChar w:fldCharType="end"/>
          </w:r>
          <w:r>
            <w:fldChar w:fldCharType="end"/>
          </w:r>
        </w:p>
        <w:p>
          <w:pPr>
            <w:pStyle w:val="6"/>
            <w:tabs>
              <w:tab w:val="right" w:leader="dot" w:pos="8306"/>
              <w:tab w:val="clear" w:pos="8296"/>
            </w:tabs>
          </w:pPr>
          <w:r>
            <w:fldChar w:fldCharType="begin"/>
          </w:r>
          <w:r>
            <w:instrText xml:space="preserve"> HYPERLINK \l "_Toc25397"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_Toc25397 \h </w:instrText>
          </w:r>
          <w:r>
            <w:fldChar w:fldCharType="separate"/>
          </w:r>
          <w:r>
            <w:t>49</w:t>
          </w:r>
          <w:r>
            <w:fldChar w:fldCharType="end"/>
          </w:r>
          <w:r>
            <w:fldChar w:fldCharType="end"/>
          </w:r>
        </w:p>
        <w:p>
          <w:pPr>
            <w:pStyle w:val="6"/>
            <w:tabs>
              <w:tab w:val="right" w:leader="dot" w:pos="8306"/>
              <w:tab w:val="clear" w:pos="8296"/>
            </w:tabs>
          </w:pPr>
          <w:r>
            <w:fldChar w:fldCharType="begin"/>
          </w:r>
          <w:r>
            <w:instrText xml:space="preserve"> HYPERLINK \l "_Toc7953"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_Toc7953 \h </w:instrText>
          </w:r>
          <w:r>
            <w:fldChar w:fldCharType="separate"/>
          </w:r>
          <w:r>
            <w:t>51</w:t>
          </w:r>
          <w:r>
            <w:fldChar w:fldCharType="end"/>
          </w:r>
          <w:r>
            <w:fldChar w:fldCharType="end"/>
          </w:r>
        </w:p>
        <w:p>
          <w:pPr>
            <w:pStyle w:val="6"/>
            <w:tabs>
              <w:tab w:val="right" w:leader="dot" w:pos="8306"/>
              <w:tab w:val="clear" w:pos="8296"/>
            </w:tabs>
          </w:pPr>
          <w:r>
            <w:fldChar w:fldCharType="begin"/>
          </w:r>
          <w:r>
            <w:instrText xml:space="preserve"> HYPERLINK \l "_Toc30149"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_Toc30149 \h </w:instrText>
          </w:r>
          <w:r>
            <w:fldChar w:fldCharType="separate"/>
          </w:r>
          <w:r>
            <w:t>53</w:t>
          </w:r>
          <w:r>
            <w:fldChar w:fldCharType="end"/>
          </w:r>
          <w:r>
            <w:fldChar w:fldCharType="end"/>
          </w:r>
        </w:p>
        <w:p>
          <w:pPr>
            <w:spacing w:line="360" w:lineRule="auto"/>
          </w:pPr>
          <w:r>
            <w:fldChar w:fldCharType="end"/>
          </w:r>
        </w:p>
      </w:sdtContent>
    </w:sdt>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67" w:name="_Toc92377130"/>
      <w:bookmarkStart w:id="68" w:name="_Toc26572"/>
      <w:r>
        <w:rPr>
          <w:rFonts w:ascii="Times New Roman"/>
          <w:sz w:val="30"/>
        </w:rPr>
        <w:t>第</w:t>
      </w:r>
      <w:r>
        <w:rPr>
          <w:rFonts w:hint="eastAsia" w:ascii="Times New Roman"/>
          <w:sz w:val="30"/>
        </w:rPr>
        <w:t xml:space="preserve">一条 </w:t>
      </w:r>
      <w:r>
        <w:rPr>
          <w:rFonts w:ascii="Times New Roman"/>
          <w:sz w:val="30"/>
        </w:rPr>
        <w:t xml:space="preserve"> 释义</w:t>
      </w:r>
      <w:bookmarkEnd w:id="66"/>
      <w:bookmarkEnd w:id="67"/>
      <w:bookmarkEnd w:id="68"/>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17"/>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17"/>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：指产品管理人向投资者提供的，用于描述产品特征，约定权利义务的文件。具体指《兴银理财【稳添利最短持有期日开固收类】理财产品销售文件》，包括《投资协议书》、《产品说明书》、《（代理）销售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《投资协议书》：指管理人统一编制的《兴银理财【稳添利最短持有期日开固收类】理财产品投资协议书》，以及对该文件的有效修改或补充。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）《产品说明书》：指管理人统一编制的《兴银理财【稳添利最短持有期日开固收类】理财产品产品说明书》，以及对该文件的有效修改或补充。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（4）《（代理）销售协议书》：指管理人统一编制的《兴银理财【稳添利最短持有期日开固收类】理财产品（代理）销售协议书》或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的《兴银理财【稳添利最短持有期日开固收类】理财产品（代理）销售协议书》（文件名称以代理销售机构实际编制为准），以及对该文件的有效修改或补充。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）《风险揭示书》：指管理人统一编制的《兴银理财【稳添利最短持有期日开固收类】理财产品风险揭示书》或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的《兴银理财【稳添利最短持有期日开固收类】理财产品风险揭示书》（文件名称以代理销售机构实际编制为准），以及对该文件的有效修改或补充。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）《投资者权益须知》：指管理人统一编制的《兴银理财【稳添利最短持有期日开固收类】理财产品投资者权益须知》或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《兴银理财【稳添利最短持有期日开固收类】理财产品投资者权益须知》（文件名称以代理销售机构实际编制为准），以及对该文件的有效修改或补充。</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17"/>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17"/>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17"/>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17"/>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17"/>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17"/>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17"/>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17"/>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17"/>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17"/>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）国家金融监督管理总局：为免歧义，原中国银行业监督管理委员会、原中国银行保险监督管理委员会与国家金融监督管理总局均统称为“国家金融监督管理总局”。</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（3）适用法律：指在理财销售文件签署日和履行过程中，适用中华人民共和国法律（为本销售文件之目的，在此不包括香港、澳门特别行政区和台湾地区的法律），包括中国任何立法机构、政府部门、银行业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69" w:name="_Toc92377131"/>
      <w:bookmarkStart w:id="70" w:name="_Toc79154665"/>
      <w:bookmarkStart w:id="71" w:name="_Toc14559"/>
      <w:r>
        <w:rPr>
          <w:rFonts w:hint="eastAsia" w:hAnsi="宋体"/>
          <w:sz w:val="28"/>
          <w:szCs w:val="28"/>
        </w:rPr>
        <w:t>第二条  理财产品基本情况</w:t>
      </w:r>
      <w:bookmarkEnd w:id="69"/>
      <w:bookmarkEnd w:id="70"/>
      <w:r>
        <w:rPr>
          <w:rFonts w:hint="eastAsia" w:hAnsi="宋体"/>
          <w:sz w:val="28"/>
          <w:szCs w:val="28"/>
        </w:rPr>
        <w:t xml:space="preserve"> </w:t>
      </w:r>
      <w:bookmarkEnd w:id="71"/>
    </w:p>
    <w:tbl>
      <w:tblPr>
        <w:tblStyle w:val="9"/>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【兴银理财稳添利周盈20号(7天最短持有期)日开固收类理财产品】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w:t>
            </w:r>
            <w:r>
              <w:rPr>
                <w:rFonts w:hint="eastAsia" w:ascii="宋体" w:hAnsi="宋体"/>
                <w:sz w:val="18"/>
                <w:szCs w:val="18"/>
              </w:rPr>
              <w:t>兴银稳添利周盈20号</w:t>
            </w:r>
            <w:r>
              <w:rPr>
                <w:rFonts w:hint="eastAsia" w:ascii="宋体" w:hAnsi="宋体"/>
                <w:sz w:val="18"/>
                <w:szCs w:val="18"/>
                <w:lang w:val="en-US" w:eastAsia="zh-CN"/>
              </w:rPr>
              <w:t>C</w:t>
            </w:r>
            <w:r>
              <w:rPr>
                <w:rFonts w:hint="eastAsia" w:ascii="宋体" w:hAnsi="宋体"/>
                <w:sz w:val="18"/>
                <w:szCs w:val="18"/>
              </w:rPr>
              <w:t>（兴普惠）</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C</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【Z7002024001170】</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9K400200】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ascii="宋体" w:hAnsi="宋体"/>
                <w:bCs/>
                <w:sz w:val="18"/>
                <w:szCs w:val="18"/>
              </w:rPr>
              <w:t>9K40020</w:t>
            </w:r>
            <w:r>
              <w:rPr>
                <w:rFonts w:hint="eastAsia" w:ascii="宋体" w:hAnsi="宋体"/>
                <w:bCs/>
                <w:sz w:val="18"/>
                <w:szCs w:val="18"/>
                <w:lang w:val="en-US" w:eastAsia="zh-CN"/>
              </w:rPr>
              <w:t>C</w:t>
            </w:r>
            <w:r>
              <w:rPr>
                <w:rFonts w:hint="eastAsia" w:hAnsi="宋体"/>
                <w:sz w:val="18"/>
                <w:szCs w:val="18"/>
              </w:rPr>
              <w:t>】（适用【</w:t>
            </w:r>
            <w:r>
              <w:rPr>
                <w:rFonts w:hint="eastAsia" w:hAnsi="宋体"/>
                <w:sz w:val="18"/>
                <w:szCs w:val="18"/>
                <w:lang w:val="en-US" w:eastAsia="zh-CN"/>
              </w:rPr>
              <w:t>C</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276"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24</w:t>
            </w:r>
            <w:r>
              <w:rPr>
                <w:rFonts w:hint="eastAsia" w:cs="Times New Roman" w:asciiTheme="minorEastAsia" w:hAnsiTheme="minorEastAsia"/>
                <w:sz w:val="18"/>
                <w:szCs w:val="18"/>
              </w:rPr>
              <w:t>】日【9:0</w:t>
            </w:r>
            <w:r>
              <w:rPr>
                <w:rFonts w:cs="Times New Roman" w:asciiTheme="minorEastAsia" w:hAnsiTheme="minorEastAsia"/>
                <w:sz w:val="18"/>
                <w:szCs w:val="18"/>
              </w:rPr>
              <w:t>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30</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【1</w:t>
            </w:r>
            <w:r>
              <w:rPr>
                <w:rFonts w:hint="eastAsia" w:asciiTheme="majorEastAsia" w:hAnsiTheme="majorEastAsia" w:eastAsiaTheme="majorEastAsia"/>
                <w:sz w:val="18"/>
                <w:szCs w:val="18"/>
                <w:lang w:val="en-US" w:eastAsia="zh-CN"/>
              </w:rPr>
              <w:t>7:00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31</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cs="Times New Roman" w:asciiTheme="minorEastAsia" w:hAnsiTheme="minorEastAsia"/>
                <w:sz w:val="18"/>
                <w:szCs w:val="18"/>
              </w:rPr>
              <w:t>/</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本产品最短持有期为【</w:t>
            </w:r>
            <w:r>
              <w:rPr>
                <w:rFonts w:hint="eastAsia" w:asciiTheme="minorEastAsia" w:hAnsiTheme="minorEastAsia"/>
                <w:sz w:val="18"/>
                <w:szCs w:val="18"/>
                <w:lang w:val="en-US" w:eastAsia="zh-CN"/>
              </w:rPr>
              <w:t>7</w:t>
            </w:r>
            <w:r>
              <w:rPr>
                <w:rFonts w:hint="eastAsia" w:asciiTheme="minorEastAsia" w:hAnsiTheme="minorEastAsia"/>
                <w:sz w:val="18"/>
                <w:szCs w:val="18"/>
              </w:rPr>
              <w:t>】个自然日。本产品封闭期结束后的第一个工作日起每日开放（产品管理人公告暂停开放的日期除外），投资者可于开放日提交申购申请。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自产品成立日/申购确认日起第【</w:t>
            </w:r>
            <w:r>
              <w:rPr>
                <w:rFonts w:hint="eastAsia" w:asciiTheme="minorEastAsia" w:hAnsiTheme="minorEastAsia" w:eastAsiaTheme="majorEastAsia"/>
                <w:sz w:val="18"/>
                <w:szCs w:val="18"/>
                <w:lang w:val="en-US" w:eastAsia="zh-CN"/>
              </w:rPr>
              <w:t>7</w:t>
            </w:r>
            <w:r>
              <w:rPr>
                <w:rFonts w:hint="eastAsia" w:asciiTheme="majorEastAsia" w:hAnsiTheme="majorEastAsia" w:eastAsiaTheme="majorEastAsia"/>
                <w:bCs/>
                <w:sz w:val="18"/>
                <w:szCs w:val="18"/>
              </w:rPr>
              <w:t>】个自然日内（不含当日）投资者不能赎回该产品份额，自产品成立日/申购确认日起第【</w:t>
            </w:r>
            <w:r>
              <w:rPr>
                <w:rFonts w:hint="eastAsia" w:asciiTheme="minorEastAsia" w:hAnsiTheme="minorEastAsia" w:eastAsiaTheme="majorEastAsia"/>
                <w:sz w:val="18"/>
                <w:szCs w:val="18"/>
                <w:lang w:val="en-US" w:eastAsia="zh-CN"/>
              </w:rPr>
              <w:t>7</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cs="Times New Roman" w:asciiTheme="minorEastAsia" w:hAnsiTheme="minorEastAsia" w:eastAsiaTheme="minorEastAsia"/>
                <w:bCs/>
                <w:sz w:val="18"/>
                <w:szCs w:val="18"/>
              </w:rPr>
              <w:t>2</w:t>
            </w:r>
            <w:r>
              <w:rPr>
                <w:rFonts w:hint="eastAsia" w:cs="Times New Roman" w:asciiTheme="minorEastAsia" w:hAnsiTheme="minorEastAsia" w:eastAsiaTheme="minorEastAsia"/>
                <w:bCs/>
                <w:sz w:val="18"/>
                <w:szCs w:val="18"/>
              </w:rPr>
              <w:t>】个工作日内对投资者的申购申请的有效性进行确认，并登记理财份额。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cs="Times New Roman" w:asciiTheme="minorEastAsia" w:hAnsiTheme="minorEastAsia" w:eastAsiaTheme="minorEastAsia"/>
                <w:bCs/>
                <w:sz w:val="18"/>
                <w:szCs w:val="18"/>
              </w:rPr>
              <w:t>2</w:t>
            </w:r>
            <w:r>
              <w:rPr>
                <w:rFonts w:hint="eastAsia" w:cs="Times New Roman" w:asciiTheme="minorEastAsia" w:hAnsiTheme="minorEastAsia" w:eastAsiaTheme="minorEastAsia"/>
                <w:bCs/>
                <w:sz w:val="18"/>
                <w:szCs w:val="18"/>
              </w:rPr>
              <w:t>】个工作日内对投资者的赎回申请的有效性进行确认，并注销理财份额。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日后【3】个工作日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购买起点金额为【1】元；超出起点金额的部分以【0</w:t>
            </w:r>
            <w:r>
              <w:rPr>
                <w:rFonts w:asciiTheme="majorEastAsia" w:hAnsiTheme="majorEastAsia" w:eastAsiaTheme="majorEastAsia"/>
                <w:bCs/>
                <w:sz w:val="18"/>
                <w:szCs w:val="18"/>
              </w:rPr>
              <w:t>.01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C</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17"/>
              <w:spacing w:line="360" w:lineRule="auto"/>
              <w:rPr>
                <w:rFonts w:asciiTheme="minorEastAsia" w:hAnsiTheme="minorEastAsia" w:eastAsiaTheme="minorEastAsia"/>
                <w:color w:val="auto"/>
                <w:sz w:val="18"/>
                <w:szCs w:val="18"/>
              </w:rPr>
            </w:pPr>
            <w:r>
              <w:rPr>
                <w:rFonts w:hint="eastAsia" w:hAnsi="宋体"/>
                <w:bCs/>
                <w:sz w:val="18"/>
                <w:szCs w:val="18"/>
              </w:rPr>
              <w:t>（适用【</w:t>
            </w:r>
            <w:r>
              <w:rPr>
                <w:rFonts w:hint="eastAsia" w:hAnsi="宋体"/>
                <w:bCs/>
                <w:sz w:val="18"/>
                <w:szCs w:val="18"/>
                <w:lang w:val="en-US" w:eastAsia="zh-CN"/>
              </w:rPr>
              <w:t>C</w:t>
            </w:r>
            <w:r>
              <w:rPr>
                <w:rFonts w:hint="eastAsia" w:hAnsi="宋体"/>
                <w:bCs/>
                <w:sz w:val="18"/>
                <w:szCs w:val="18"/>
              </w:rPr>
              <w:t>】类份额）</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17"/>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】元。如需突破上限，请与产品管理人或销售机构客户经理联系。</w:t>
            </w:r>
          </w:p>
          <w:p>
            <w:pPr>
              <w:pStyle w:val="17"/>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】份，符合产品管理人流动性管理的稳定资金除外。</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pPr>
              <w:pStyle w:val="17"/>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17"/>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17"/>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17"/>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
                <w:bCs/>
                <w:sz w:val="18"/>
                <w:szCs w:val="18"/>
              </w:rPr>
            </w:pPr>
            <w:r>
              <w:rPr>
                <w:rFonts w:hint="eastAsia" w:hAnsi="宋体"/>
                <w:bCs/>
                <w:sz w:val="18"/>
                <w:szCs w:val="18"/>
              </w:rPr>
              <w:t>（适用【</w:t>
            </w:r>
            <w:r>
              <w:rPr>
                <w:rFonts w:hint="eastAsia" w:hAnsi="宋体"/>
                <w:bCs/>
                <w:sz w:val="18"/>
                <w:szCs w:val="18"/>
                <w:lang w:val="en-US" w:eastAsia="zh-CN"/>
              </w:rPr>
              <w:t>C</w:t>
            </w:r>
            <w:r>
              <w:rPr>
                <w:rFonts w:hint="eastAsia" w:hAnsi="宋体"/>
                <w:bCs/>
                <w:sz w:val="18"/>
                <w:szCs w:val="18"/>
              </w:rPr>
              <w:t>】类份额）</w:t>
            </w:r>
          </w:p>
          <w:p>
            <w:pPr>
              <w:spacing w:line="360" w:lineRule="auto"/>
              <w:jc w:val="left"/>
              <w:rPr>
                <w:rFonts w:ascii="宋体" w:hAnsi="宋体"/>
                <w:b/>
                <w:bCs/>
                <w:sz w:val="18"/>
                <w:szCs w:val="18"/>
              </w:rPr>
            </w:pPr>
            <w:r>
              <w:rPr>
                <w:rFonts w:hint="eastAsia" w:ascii="宋体" w:hAnsi="宋体"/>
                <w:b/>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业绩比较基准的设定</w:t>
            </w:r>
            <w:r>
              <w:rPr>
                <w:rFonts w:hint="eastAsia" w:asciiTheme="majorEastAsia" w:hAnsiTheme="majorEastAsia" w:eastAsiaTheme="majorEastAsia"/>
                <w:bCs/>
                <w:sz w:val="18"/>
                <w:szCs w:val="18"/>
              </w:rPr>
              <w:t>：</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业绩比较基准：年化</w:t>
            </w:r>
            <w:r>
              <w:rPr>
                <w:rFonts w:hint="eastAsia" w:ascii="宋体" w:hAnsi="宋体"/>
                <w:bCs/>
                <w:sz w:val="18"/>
                <w:szCs w:val="18"/>
              </w:rPr>
              <w:t>【</w:t>
            </w:r>
            <w:r>
              <w:rPr>
                <w:rFonts w:hint="eastAsia" w:ascii="宋体" w:hAnsi="宋体"/>
                <w:bCs/>
                <w:sz w:val="18"/>
                <w:szCs w:val="18"/>
                <w:lang w:val="en-US" w:eastAsia="zh-CN"/>
              </w:rPr>
              <w:t>1.60</w:t>
            </w:r>
            <w:r>
              <w:rPr>
                <w:rFonts w:hint="eastAsia" w:ascii="宋体" w:hAnsi="宋体"/>
                <w:bCs/>
                <w:sz w:val="18"/>
                <w:szCs w:val="18"/>
              </w:rPr>
              <w:t>%</w:t>
            </w:r>
            <w:r>
              <w:rPr>
                <w:rFonts w:ascii="宋体" w:hAnsi="宋体"/>
                <w:bCs/>
                <w:sz w:val="18"/>
                <w:szCs w:val="18"/>
              </w:rPr>
              <w:t>-</w:t>
            </w:r>
            <w:r>
              <w:rPr>
                <w:rFonts w:hint="eastAsia" w:ascii="宋体" w:hAnsi="宋体"/>
                <w:bCs/>
                <w:sz w:val="18"/>
                <w:szCs w:val="18"/>
                <w:lang w:val="en-US" w:eastAsia="zh-CN"/>
              </w:rPr>
              <w:t>3.40</w:t>
            </w:r>
            <w:r>
              <w:rPr>
                <w:rFonts w:hint="eastAsia" w:ascii="宋体" w:hAnsi="宋体"/>
                <w:bCs/>
                <w:sz w:val="18"/>
                <w:szCs w:val="18"/>
              </w:rPr>
              <w:t>%</w:t>
            </w:r>
            <w:r>
              <w:rPr>
                <w:rFonts w:ascii="宋体" w:hAnsi="宋体"/>
                <w:bCs/>
                <w:sz w:val="18"/>
                <w:szCs w:val="18"/>
              </w:rPr>
              <w:t>】</w:t>
            </w:r>
            <w:r>
              <w:rPr>
                <w:rFonts w:hint="eastAsia" w:ascii="宋体" w:hAnsi="宋体"/>
                <w:bCs/>
                <w:sz w:val="18"/>
                <w:szCs w:val="18"/>
              </w:rPr>
              <w:t>。</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产品管理人不设置业绩比较基准。</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2.业绩比较基准的提示：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w:t>
            </w:r>
            <w:r>
              <w:rPr>
                <w:rFonts w:hint="eastAsia"/>
                <w:sz w:val="18"/>
                <w:szCs w:val="18"/>
              </w:rPr>
              <w:t>★</w:t>
            </w:r>
            <w:r>
              <w:rPr>
                <w:rFonts w:hint="eastAsia"/>
                <w:b/>
                <w:sz w:val="18"/>
              </w:rPr>
              <w:t>业绩比较基准</w:t>
            </w:r>
            <w:r>
              <w:rPr>
                <w:rFonts w:hint="eastAsia"/>
                <w:b/>
                <w:bCs/>
                <w:sz w:val="18"/>
                <w:szCs w:val="18"/>
              </w:rPr>
              <w:t>不是预期收益率，</w:t>
            </w:r>
            <w:r>
              <w:rPr>
                <w:rFonts w:hint="eastAsia"/>
                <w:b/>
                <w:sz w:val="18"/>
              </w:rPr>
              <w:t>不代表产品</w:t>
            </w:r>
            <w:r>
              <w:rPr>
                <w:rFonts w:hint="eastAsia"/>
                <w:b/>
                <w:bCs/>
                <w:sz w:val="18"/>
                <w:szCs w:val="18"/>
              </w:rPr>
              <w:t>的</w:t>
            </w:r>
            <w:r>
              <w:rPr>
                <w:rFonts w:hint="eastAsia"/>
                <w:b/>
                <w:sz w:val="18"/>
              </w:rPr>
              <w:t>未来表现</w:t>
            </w:r>
            <w:r>
              <w:rPr>
                <w:rFonts w:hint="eastAsia"/>
                <w:b/>
                <w:bCs/>
                <w:sz w:val="18"/>
                <w:szCs w:val="18"/>
              </w:rPr>
              <w:t>和</w:t>
            </w:r>
            <w:r>
              <w:rPr>
                <w:rFonts w:hint="eastAsia"/>
                <w:b/>
                <w:sz w:val="18"/>
              </w:rPr>
              <w:t>实际收益，不</w:t>
            </w:r>
            <w:r>
              <w:rPr>
                <w:rFonts w:hint="eastAsia"/>
                <w:b/>
                <w:bCs/>
                <w:sz w:val="18"/>
                <w:szCs w:val="18"/>
              </w:rPr>
              <w:t>构成对</w:t>
            </w:r>
            <w:r>
              <w:rPr>
                <w:rFonts w:hint="eastAsia"/>
                <w:b/>
                <w:sz w:val="18"/>
              </w:rPr>
              <w:t>产品收益的</w:t>
            </w:r>
            <w:r>
              <w:rPr>
                <w:rFonts w:hint="eastAsia"/>
                <w:b/>
                <w:bCs/>
                <w:sz w:val="18"/>
                <w:szCs w:val="18"/>
              </w:rPr>
              <w:t>承诺</w:t>
            </w:r>
            <w:r>
              <w:rPr>
                <w:rFonts w:hint="eastAsia"/>
                <w:b/>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（适用【</w:t>
            </w:r>
            <w:r>
              <w:rPr>
                <w:rFonts w:hint="eastAsia" w:hAnsi="宋体"/>
                <w:bCs/>
                <w:sz w:val="18"/>
                <w:szCs w:val="18"/>
                <w:lang w:val="en-US" w:eastAsia="zh-CN"/>
              </w:rPr>
              <w:t>C</w:t>
            </w:r>
            <w:r>
              <w:rPr>
                <w:rFonts w:hint="eastAsia" w:hAnsi="宋体"/>
                <w:bCs/>
                <w:sz w:val="18"/>
                <w:szCs w:val="18"/>
              </w:rPr>
              <w:t>】类份额）</w:t>
            </w:r>
          </w:p>
          <w:p>
            <w:pPr>
              <w:spacing w:line="360" w:lineRule="auto"/>
              <w:jc w:val="left"/>
              <w:rPr>
                <w:rFonts w:ascii="宋体" w:hAnsi="宋体"/>
                <w:sz w:val="18"/>
              </w:rPr>
            </w:pPr>
            <w:r>
              <w:rPr>
                <w:rFonts w:ascii="宋体" w:hAnsi="宋体"/>
                <w:b/>
                <w:bCs/>
                <w:sz w:val="18"/>
                <w:szCs w:val="18"/>
              </w:rPr>
              <w:t>1.业绩报酬计提基准的设置</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
                <w:kern w:val="0"/>
                <w:sz w:val="18"/>
                <w:szCs w:val="18"/>
              </w:rPr>
              <w:t xml:space="preserve"> 产品管理人不设置业绩报酬计提基准。</w:t>
            </w:r>
          </w:p>
          <w:p>
            <w:pPr>
              <w:spacing w:line="360" w:lineRule="auto"/>
              <w:jc w:val="left"/>
              <w:rPr>
                <w:rFonts w:ascii="宋体" w:hAnsi="宋体"/>
                <w:b/>
                <w:bCs/>
                <w:sz w:val="18"/>
                <w:szCs w:val="18"/>
              </w:rPr>
            </w:pPr>
            <w:r>
              <w:rPr>
                <w:rFonts w:hint="eastAsia" w:ascii="宋体" w:hAnsi="宋体"/>
                <w:b/>
                <w:bCs/>
                <w:sz w:val="18"/>
                <w:szCs w:val="18"/>
              </w:rPr>
              <w:t>2</w:t>
            </w:r>
            <w:r>
              <w:rPr>
                <w:rFonts w:ascii="宋体" w:hAnsi="宋体"/>
                <w:b/>
                <w:bCs/>
                <w:sz w:val="18"/>
                <w:szCs w:val="18"/>
              </w:rPr>
              <w:t>.业绩报酬计提基准的提示</w:t>
            </w:r>
            <w:r>
              <w:rPr>
                <w:rFonts w:hint="eastAsia" w:ascii="宋体" w:hAnsi="宋体"/>
                <w:b/>
                <w:bCs/>
                <w:sz w:val="18"/>
                <w:szCs w:val="18"/>
              </w:rPr>
              <w:t>：</w:t>
            </w:r>
          </w:p>
          <w:p>
            <w:pPr>
              <w:autoSpaceDE w:val="0"/>
              <w:autoSpaceDN w:val="0"/>
              <w:adjustRightInd w:val="0"/>
              <w:spacing w:line="360" w:lineRule="auto"/>
              <w:jc w:val="left"/>
              <w:rPr>
                <w:rFonts w:ascii="宋体" w:hAnsi="宋体"/>
                <w:b/>
                <w:bCs/>
                <w:sz w:val="18"/>
                <w:szCs w:val="18"/>
              </w:rPr>
            </w:pPr>
            <w:r>
              <w:rPr>
                <w:rFonts w:hint="eastAsia" w:ascii="宋体" w:hAnsi="宋体"/>
                <w:b/>
                <w:bCs/>
                <w:sz w:val="18"/>
                <w:szCs w:val="18"/>
              </w:rPr>
              <w:t>（1）</w:t>
            </w:r>
            <w:r>
              <w:rPr>
                <w:rFonts w:hint="eastAsia"/>
                <w:sz w:val="18"/>
                <w:szCs w:val="18"/>
              </w:rPr>
              <w:t>★</w:t>
            </w:r>
            <w:r>
              <w:rPr>
                <w:rFonts w:hint="eastAsia" w:ascii="宋体" w:hAnsi="宋体"/>
                <w:b/>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C</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宋体" w:hAnsi="宋体"/>
                <w:b/>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1.</w:t>
            </w:r>
            <w:r>
              <w:rPr>
                <w:rFonts w:hint="eastAsia" w:ascii="宋体" w:hAnsi="宋体"/>
                <w:b/>
                <w:bCs/>
                <w:color w:val="000000" w:themeColor="text1"/>
                <w:sz w:val="18"/>
                <w:szCs w:val="18"/>
                <w14:textFill>
                  <w14:solidFill>
                    <w14:schemeClr w14:val="tx1"/>
                  </w14:solidFill>
                </w14:textFill>
              </w:rPr>
              <w:t>理财产品的费率标准</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（1）认购费：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（2）</w:t>
            </w:r>
            <w:r>
              <w:rPr>
                <w:rFonts w:ascii="宋体" w:hAnsi="宋体"/>
                <w:b/>
                <w:bCs/>
                <w:color w:val="000000" w:themeColor="text1"/>
                <w:sz w:val="18"/>
                <w:szCs w:val="18"/>
                <w14:textFill>
                  <w14:solidFill>
                    <w14:schemeClr w14:val="tx1"/>
                  </w14:solidFill>
                </w14:textFill>
              </w:rPr>
              <w:t>申购费：</w:t>
            </w: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（3）赎回费：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Theme="majorEastAsia" w:hAnsiTheme="majorEastAsia" w:eastAsiaTheme="majorEastAsia"/>
                <w:b/>
                <w:bCs/>
                <w:color w:val="000000" w:themeColor="text1"/>
                <w:sz w:val="18"/>
                <w:szCs w:val="18"/>
                <w14:textFill>
                  <w14:solidFill>
                    <w14:schemeClr w14:val="tx1"/>
                  </w14:solidFill>
                </w14:textFill>
              </w:rPr>
              <w:t>（4）</w:t>
            </w:r>
            <w:r>
              <w:rPr>
                <w:rFonts w:asciiTheme="majorEastAsia" w:hAnsiTheme="majorEastAsia" w:eastAsiaTheme="majorEastAsia"/>
                <w:b/>
                <w:bCs/>
                <w:color w:val="000000" w:themeColor="text1"/>
                <w:sz w:val="18"/>
                <w:szCs w:val="18"/>
                <w14:textFill>
                  <w14:solidFill>
                    <w14:schemeClr w14:val="tx1"/>
                  </w14:solidFill>
                </w14:textFill>
              </w:rPr>
              <w:t>销售服</w:t>
            </w:r>
            <w:r>
              <w:rPr>
                <w:rFonts w:hint="eastAsia" w:ascii="宋体" w:hAnsi="宋体"/>
                <w:b/>
                <w:bCs/>
                <w:color w:val="000000" w:themeColor="text1"/>
                <w:sz w:val="18"/>
                <w:szCs w:val="18"/>
                <w14:textFill>
                  <w14:solidFill>
                    <w14:schemeClr w14:val="tx1"/>
                  </w14:solidFill>
                </w14:textFill>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4</w:t>
            </w:r>
            <w:r>
              <w:rPr>
                <w:rFonts w:asciiTheme="majorEastAsia" w:hAnsiTheme="majorEastAsia" w:eastAsiaTheme="majorEastAsia"/>
                <w:sz w:val="18"/>
                <w:szCs w:val="18"/>
              </w:rPr>
              <w:t>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（5）投资管理费：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.30】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（6）产品托管费：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.03】</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widowControl/>
              <w:spacing w:line="360" w:lineRule="auto"/>
              <w:jc w:val="left"/>
              <w:rPr>
                <w:rFonts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（7）超额业绩报酬：</w:t>
            </w:r>
          </w:p>
          <w:p>
            <w:pPr>
              <w:widowControl/>
              <w:spacing w:line="360" w:lineRule="auto"/>
              <w:jc w:val="left"/>
              <w:rPr>
                <w:rFonts w:ascii="宋体" w:hAnsi="宋体"/>
                <w:sz w:val="18"/>
                <w:szCs w:val="18"/>
              </w:rPr>
            </w:pPr>
            <w:r>
              <w:rPr>
                <w:rFonts w:hint="eastAsia" w:ascii="宋体" w:hAnsi="宋体"/>
                <w:sz w:val="18"/>
                <w:szCs w:val="18"/>
              </w:rPr>
              <w:t>无。</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17"/>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72" w:name="_Toc79154666"/>
      <w:bookmarkStart w:id="73" w:name="_Toc4403"/>
      <w:bookmarkStart w:id="74" w:name="_Toc92377132"/>
      <w:r>
        <w:rPr>
          <w:rFonts w:ascii="Times New Roman"/>
          <w:sz w:val="30"/>
        </w:rPr>
        <w:t>第</w:t>
      </w:r>
      <w:r>
        <w:rPr>
          <w:rFonts w:hint="eastAsia" w:ascii="Times New Roman"/>
          <w:sz w:val="30"/>
        </w:rPr>
        <w:t>三条</w:t>
      </w:r>
      <w:r>
        <w:rPr>
          <w:rFonts w:ascii="Times New Roman"/>
          <w:sz w:val="30"/>
        </w:rPr>
        <w:t xml:space="preserve">  </w:t>
      </w:r>
      <w:bookmarkStart w:id="75" w:name="_Toc79392573"/>
      <w:r>
        <w:rPr>
          <w:rFonts w:hint="eastAsia" w:ascii="Times New Roman"/>
          <w:sz w:val="30"/>
        </w:rPr>
        <w:t>理财产品的认购</w:t>
      </w:r>
      <w:bookmarkEnd w:id="72"/>
      <w:bookmarkEnd w:id="73"/>
      <w:bookmarkEnd w:id="74"/>
    </w:p>
    <w:p>
      <w:pPr>
        <w:spacing w:line="360" w:lineRule="auto"/>
        <w:ind w:firstLine="361" w:firstLineChars="200"/>
        <w:rPr>
          <w:rFonts w:asciiTheme="minorEastAsia" w:hAnsiTheme="minorEastAsia"/>
          <w:b/>
          <w:bCs/>
          <w:sz w:val="18"/>
          <w:szCs w:val="18"/>
        </w:rPr>
      </w:pPr>
      <w:bookmarkStart w:id="76" w:name="_Hlt88031774"/>
      <w:bookmarkEnd w:id="76"/>
      <w:bookmarkStart w:id="77"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17"/>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10"/>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17"/>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17"/>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78" w:name="_Toc79154667"/>
      <w:bookmarkStart w:id="79" w:name="_Toc92377133"/>
      <w:bookmarkStart w:id="80" w:name="_Toc6529"/>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78"/>
      <w:bookmarkEnd w:id="79"/>
      <w:bookmarkEnd w:id="80"/>
    </w:p>
    <w:bookmarkEnd w:id="77"/>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19"/>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17"/>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7"/>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17"/>
        <w:spacing w:line="360" w:lineRule="auto"/>
        <w:ind w:firstLine="360" w:firstLineChars="200"/>
        <w:rPr>
          <w:rFonts w:asciiTheme="majorEastAsia" w:hAnsiTheme="majorEastAsia" w:eastAsiaTheme="majorEastAsia"/>
          <w:bCs/>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17"/>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17"/>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19"/>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17"/>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17"/>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17"/>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75"/>
    <w:p>
      <w:pPr>
        <w:pStyle w:val="2"/>
        <w:spacing w:before="0" w:after="0" w:line="360" w:lineRule="auto"/>
        <w:jc w:val="center"/>
        <w:rPr>
          <w:rFonts w:ascii="Times New Roman"/>
          <w:sz w:val="30"/>
        </w:rPr>
      </w:pPr>
      <w:bookmarkStart w:id="81" w:name="_Toc27226"/>
      <w:bookmarkStart w:id="82" w:name="_Toc74065741"/>
      <w:bookmarkStart w:id="83" w:name="_Toc3266"/>
      <w:bookmarkStart w:id="84" w:name="_Toc79154668"/>
      <w:bookmarkStart w:id="85" w:name="_Toc27189"/>
      <w:bookmarkStart w:id="86" w:name="_Toc90742390"/>
      <w:bookmarkStart w:id="87" w:name="_Toc12517"/>
      <w:bookmarkStart w:id="88" w:name="_Toc7151"/>
      <w:bookmarkStart w:id="89" w:name="_Toc15203"/>
      <w:bookmarkStart w:id="90" w:name="_Toc90742688"/>
      <w:bookmarkStart w:id="91" w:name="_Toc92377134"/>
      <w:bookmarkStart w:id="92" w:name="_Toc29948"/>
      <w:bookmarkStart w:id="93" w:name="_Toc6714"/>
      <w:bookmarkStart w:id="94" w:name="_Toc16265"/>
      <w:bookmarkStart w:id="95" w:name="_Toc90742321"/>
      <w:bookmarkStart w:id="96" w:name="_Toc29784"/>
      <w:bookmarkStart w:id="97" w:name="_Toc22074"/>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w:t>
      </w:r>
      <w:r>
        <w:rPr>
          <w:rFonts w:hint="eastAsia" w:asciiTheme="majorEastAsia" w:hAnsiTheme="majorEastAsia" w:eastAsiaTheme="majorEastAsia"/>
          <w:color w:val="auto"/>
          <w:sz w:val="18"/>
          <w:szCs w:val="18"/>
        </w:rPr>
        <w:t>在严格控制组合风险的前提下，通过不断优化组合，力争实现超越业绩比较基准的收益。</w:t>
      </w:r>
      <w:r>
        <w:rPr>
          <w:rFonts w:hint="eastAsia" w:asciiTheme="majorEastAsia" w:hAnsiTheme="majorEastAsia" w:eastAsiaTheme="majorEastAsia"/>
          <w:bCs/>
          <w:color w:val="auto"/>
          <w:sz w:val="18"/>
          <w:szCs w:val="18"/>
        </w:rPr>
        <w:t>】</w:t>
      </w:r>
    </w:p>
    <w:p>
      <w:pPr>
        <w:pStyle w:val="17"/>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本产品投资于债权类资产的比例不低于产品总资产的80%。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17"/>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17"/>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面向单一投资者发行的私募理财产品可不受本条规定限制。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7"/>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98" w:name="_Toc21988"/>
      <w:bookmarkStart w:id="99" w:name="_Toc139991735"/>
      <w:bookmarkStart w:id="100" w:name="_Toc92377135"/>
      <w:bookmarkStart w:id="101" w:name="_Toc141703885"/>
      <w:bookmarkStart w:id="102" w:name="_Toc18526"/>
      <w:bookmarkStart w:id="103" w:name="_Toc17912"/>
      <w:bookmarkStart w:id="104" w:name="_Toc1823"/>
      <w:bookmarkStart w:id="105" w:name="_Toc4741"/>
      <w:bookmarkStart w:id="106" w:name="_Toc14893"/>
      <w:bookmarkStart w:id="107" w:name="_Toc27967"/>
      <w:bookmarkStart w:id="108" w:name="_Toc79154669"/>
      <w:bookmarkStart w:id="109" w:name="_Toc74065742"/>
      <w:bookmarkStart w:id="110" w:name="_Toc26986"/>
      <w:bookmarkStart w:id="111" w:name="_Toc18329"/>
      <w:bookmarkStart w:id="112" w:name="_Toc18797"/>
      <w:bookmarkStart w:id="113" w:name="_Toc7848"/>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pPr>
        <w:pStyle w:val="17"/>
        <w:spacing w:line="360" w:lineRule="auto"/>
        <w:ind w:firstLine="361" w:firstLineChars="200"/>
        <w:rPr>
          <w:rFonts w:asciiTheme="majorEastAsia" w:hAnsiTheme="majorEastAsia" w:eastAsiaTheme="majorEastAsia"/>
          <w:b/>
          <w:color w:val="auto"/>
          <w:sz w:val="18"/>
          <w:szCs w:val="18"/>
        </w:rPr>
      </w:pPr>
      <w:bookmarkStart w:id="114" w:name="_Hlk490214295"/>
      <w:r>
        <w:rPr>
          <w:rFonts w:hint="eastAsia" w:asciiTheme="majorEastAsia" w:hAnsiTheme="majorEastAsia" w:eastAsiaTheme="majorEastAsia"/>
          <w:b/>
          <w:color w:val="auto"/>
          <w:sz w:val="18"/>
          <w:szCs w:val="18"/>
        </w:rPr>
        <w:t>（一）理财产品的资产的保管和处分</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114"/>
    <w:p>
      <w:pPr>
        <w:pStyle w:val="2"/>
        <w:spacing w:before="0" w:after="0" w:line="360" w:lineRule="auto"/>
        <w:jc w:val="center"/>
        <w:rPr>
          <w:rFonts w:ascii="Times New Roman"/>
          <w:sz w:val="28"/>
          <w:szCs w:val="28"/>
        </w:rPr>
      </w:pPr>
      <w:bookmarkStart w:id="115" w:name="_Toc13903"/>
      <w:bookmarkStart w:id="116" w:name="_Toc83391971"/>
      <w:bookmarkStart w:id="117" w:name="_Toc92377136"/>
      <w:bookmarkStart w:id="118" w:name="_Toc123102453"/>
      <w:bookmarkStart w:id="119" w:name="_Toc4003"/>
      <w:bookmarkStart w:id="120" w:name="_Toc7920"/>
      <w:bookmarkStart w:id="121" w:name="_Toc98560352"/>
      <w:bookmarkStart w:id="122" w:name="_Toc48649707"/>
      <w:bookmarkStart w:id="123" w:name="_Toc1427"/>
      <w:bookmarkStart w:id="124" w:name="_Toc139991736"/>
      <w:bookmarkStart w:id="125" w:name="_Toc23261"/>
      <w:bookmarkStart w:id="126" w:name="_Toc1270"/>
      <w:bookmarkStart w:id="127" w:name="_Toc610"/>
      <w:bookmarkStart w:id="128" w:name="_Toc10463"/>
      <w:bookmarkStart w:id="129" w:name="_Toc79392606"/>
      <w:bookmarkStart w:id="130" w:name="_Toc123112234"/>
      <w:bookmarkStart w:id="131" w:name="_Toc23822"/>
      <w:bookmarkStart w:id="132" w:name="_Toc141703886"/>
      <w:bookmarkStart w:id="133" w:name="_Toc20733"/>
      <w:bookmarkStart w:id="134" w:name="_Toc17244"/>
      <w:bookmarkStart w:id="135" w:name="_Toc79154670"/>
      <w:bookmarkStart w:id="136" w:name="_Toc123051452"/>
      <w:bookmarkStart w:id="137" w:name="_Toc74065743"/>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115"/>
      <w:bookmarkEnd w:id="116"/>
      <w:bookmarkEnd w:id="117"/>
    </w:p>
    <w:p>
      <w:pPr>
        <w:pStyle w:val="17"/>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7"/>
        <w:spacing w:line="360" w:lineRule="auto"/>
        <w:ind w:firstLine="360" w:firstLineChars="200"/>
        <w:rPr>
          <w:rFonts w:asciiTheme="minorEastAsia" w:hAnsiTheme="minorEastAsia" w:eastAsiaTheme="minorEastAsia"/>
          <w:color w:val="2E3033"/>
          <w:sz w:val="18"/>
          <w:szCs w:val="18"/>
        </w:rPr>
      </w:pPr>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，每个【工作日】进行一次估值</w:t>
      </w:r>
      <w:r>
        <w:rPr>
          <w:rFonts w:hint="eastAsia" w:asciiTheme="minorEastAsia" w:hAnsiTheme="minorEastAsia" w:eastAsiaTheme="minorEastAsia"/>
          <w:color w:val="2E3033"/>
          <w:sz w:val="18"/>
          <w:szCs w:val="18"/>
        </w:rPr>
        <w:t>。</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17"/>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17"/>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pPr>
        <w:pStyle w:val="17"/>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17"/>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17"/>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17"/>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17"/>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Pr>
        <w:pStyle w:val="2"/>
        <w:spacing w:before="0" w:after="0" w:line="360" w:lineRule="auto"/>
        <w:ind w:left="60" w:firstLine="10"/>
        <w:jc w:val="center"/>
        <w:rPr>
          <w:rFonts w:ascii="Times New Roman"/>
          <w:sz w:val="30"/>
        </w:rPr>
      </w:pPr>
      <w:bookmarkStart w:id="138" w:name="_Hlt70481650"/>
      <w:bookmarkEnd w:id="138"/>
      <w:bookmarkStart w:id="139" w:name="_Toc26207"/>
      <w:bookmarkStart w:id="140" w:name="_Toc31235"/>
      <w:bookmarkStart w:id="141" w:name="_Toc6405"/>
      <w:bookmarkStart w:id="142" w:name="_Toc4020"/>
      <w:bookmarkStart w:id="143" w:name="_Toc98560353"/>
      <w:bookmarkStart w:id="144" w:name="_Toc123051453"/>
      <w:bookmarkStart w:id="145" w:name="_Toc3601"/>
      <w:bookmarkStart w:id="146" w:name="_Toc14835"/>
      <w:bookmarkStart w:id="147" w:name="_Toc79154671"/>
      <w:bookmarkStart w:id="148" w:name="_Toc123102454"/>
      <w:bookmarkStart w:id="149" w:name="_Toc92377137"/>
      <w:bookmarkStart w:id="150" w:name="_Toc74065744"/>
      <w:bookmarkStart w:id="151" w:name="_Toc29251"/>
      <w:bookmarkStart w:id="152" w:name="_Toc12245"/>
      <w:bookmarkStart w:id="153" w:name="_Toc15143"/>
      <w:bookmarkStart w:id="154" w:name="_Toc123112235"/>
      <w:bookmarkStart w:id="155" w:name="_Toc141703887"/>
      <w:bookmarkStart w:id="156" w:name="_Toc31653"/>
      <w:bookmarkStart w:id="157" w:name="_Toc31644"/>
      <w:bookmarkStart w:id="158" w:name="_Toc139991737"/>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Start w:id="159" w:name="_Hlt55355235"/>
      <w:bookmarkEnd w:id="159"/>
      <w:bookmarkStart w:id="160" w:name="_Toc79392580"/>
      <w:bookmarkStart w:id="161" w:name="_Toc57530239"/>
      <w:bookmarkStart w:id="162" w:name="_Toc15118234"/>
      <w:bookmarkStart w:id="163" w:name="_Toc523711668"/>
    </w:p>
    <w:p>
      <w:pPr>
        <w:pStyle w:val="17"/>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17"/>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17"/>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17"/>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17"/>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17"/>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17"/>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17"/>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17"/>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17"/>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17"/>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17"/>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17"/>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17"/>
        <w:spacing w:line="360" w:lineRule="auto"/>
        <w:ind w:firstLine="360" w:firstLineChars="200"/>
        <w:rPr>
          <w:rFonts w:hAnsi="宋体"/>
          <w:color w:val="auto"/>
          <w:sz w:val="18"/>
          <w:szCs w:val="18"/>
        </w:rPr>
      </w:pPr>
      <w:r>
        <w:rPr>
          <w:rFonts w:hint="eastAsia" w:hAnsi="宋体"/>
          <w:color w:val="auto"/>
          <w:sz w:val="18"/>
          <w:szCs w:val="18"/>
        </w:rPr>
        <w:t>1.理财利益的分配日</w:t>
      </w:r>
    </w:p>
    <w:p>
      <w:pPr>
        <w:pStyle w:val="17"/>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17"/>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17"/>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
      <w:pPr>
        <w:widowControl/>
        <w:spacing w:line="360" w:lineRule="auto"/>
        <w:jc w:val="left"/>
        <w:rPr>
          <w:rFonts w:ascii="宋体" w:hAnsi="宋体"/>
          <w:kern w:val="0"/>
          <w:sz w:val="18"/>
          <w:szCs w:val="18"/>
        </w:rPr>
      </w:pPr>
      <w:r>
        <w:rPr>
          <w:rFonts w:hAnsi="宋体"/>
          <w:sz w:val="18"/>
          <w:szCs w:val="18"/>
        </w:rPr>
        <w:br w:type="page"/>
      </w:r>
    </w:p>
    <w:bookmarkEnd w:id="160"/>
    <w:bookmarkEnd w:id="161"/>
    <w:bookmarkEnd w:id="162"/>
    <w:bookmarkEnd w:id="163"/>
    <w:p>
      <w:pPr>
        <w:pStyle w:val="2"/>
        <w:spacing w:before="0" w:after="0" w:line="360" w:lineRule="auto"/>
        <w:jc w:val="center"/>
        <w:rPr>
          <w:rFonts w:ascii="Times New Roman"/>
          <w:sz w:val="30"/>
        </w:rPr>
      </w:pPr>
      <w:bookmarkStart w:id="164" w:name="_Hlt88825574"/>
      <w:bookmarkEnd w:id="164"/>
      <w:bookmarkStart w:id="165" w:name="_Hlt88897298"/>
      <w:bookmarkEnd w:id="165"/>
      <w:bookmarkStart w:id="166" w:name="_Toc3321"/>
      <w:bookmarkStart w:id="167" w:name="_Toc123051454"/>
      <w:bookmarkStart w:id="168" w:name="_Toc123102455"/>
      <w:bookmarkStart w:id="169" w:name="_Toc79154672"/>
      <w:bookmarkStart w:id="170" w:name="_Toc18567"/>
      <w:bookmarkStart w:id="171" w:name="_Toc6394"/>
      <w:bookmarkStart w:id="172" w:name="_Toc11030"/>
      <w:bookmarkStart w:id="173" w:name="_Toc92377138"/>
      <w:bookmarkStart w:id="174" w:name="_Toc123112236"/>
      <w:bookmarkStart w:id="175" w:name="_Toc141703888"/>
      <w:bookmarkStart w:id="176" w:name="_Toc9706"/>
      <w:bookmarkStart w:id="177" w:name="_Toc98560354"/>
      <w:bookmarkStart w:id="178" w:name="_Toc3771"/>
      <w:bookmarkStart w:id="179" w:name="_Toc7058"/>
      <w:bookmarkStart w:id="180" w:name="_Toc10650"/>
      <w:bookmarkStart w:id="181" w:name="_Toc4559"/>
      <w:bookmarkStart w:id="182" w:name="_Toc79392583"/>
      <w:bookmarkStart w:id="183" w:name="_Toc6447"/>
      <w:bookmarkStart w:id="184" w:name="_Toc25783"/>
      <w:bookmarkStart w:id="185" w:name="_Toc74065745"/>
      <w:bookmarkStart w:id="186" w:name="_Toc139991738"/>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14"/>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17"/>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17"/>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17"/>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17"/>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87" w:name="_Toc1745"/>
      <w:bookmarkStart w:id="188" w:name="_Toc3963"/>
      <w:r>
        <w:br w:type="page"/>
      </w:r>
      <w:bookmarkStart w:id="189" w:name="_Toc16164"/>
      <w:bookmarkStart w:id="190" w:name="_Toc92377139"/>
      <w:bookmarkStart w:id="191" w:name="_Toc25397"/>
      <w:bookmarkStart w:id="192" w:name="_Toc31821"/>
      <w:bookmarkStart w:id="193" w:name="_Toc74065746"/>
      <w:bookmarkStart w:id="194" w:name="_Toc725"/>
      <w:bookmarkStart w:id="195" w:name="_Toc141703889"/>
      <w:bookmarkStart w:id="196" w:name="_Toc10398"/>
      <w:bookmarkStart w:id="197" w:name="_Toc3572"/>
      <w:bookmarkStart w:id="198" w:name="_Toc123051455"/>
      <w:bookmarkStart w:id="199" w:name="_Toc21735"/>
      <w:bookmarkStart w:id="200" w:name="_Toc139991739"/>
      <w:bookmarkStart w:id="201" w:name="_Toc98560355"/>
      <w:bookmarkStart w:id="202" w:name="_Toc79154673"/>
      <w:bookmarkStart w:id="203" w:name="_Toc123112237"/>
      <w:bookmarkStart w:id="204" w:name="_Toc123102456"/>
      <w:bookmarkStart w:id="205" w:name="_Toc3080"/>
      <w:bookmarkStart w:id="206" w:name="_Toc18206"/>
      <w:r>
        <w:rPr>
          <w:rFonts w:hint="eastAsia"/>
          <w:sz w:val="30"/>
        </w:rPr>
        <w:t>第十条</w:t>
      </w:r>
      <w:r>
        <w:rPr>
          <w:sz w:val="30"/>
        </w:rPr>
        <w:t xml:space="preserve">  </w:t>
      </w:r>
      <w:r>
        <w:rPr>
          <w:rFonts w:hint="eastAsia"/>
          <w:sz w:val="30"/>
        </w:rPr>
        <w:t>理财产品的终止与清算</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pPr>
        <w:spacing w:line="360" w:lineRule="auto"/>
        <w:ind w:firstLine="361" w:firstLineChars="200"/>
        <w:rPr>
          <w:rFonts w:asciiTheme="majorEastAsia" w:hAnsiTheme="majorEastAsia" w:eastAsiaTheme="majorEastAsia"/>
          <w:b/>
          <w:bCs/>
          <w:sz w:val="18"/>
          <w:szCs w:val="18"/>
        </w:rPr>
      </w:pPr>
      <w:bookmarkStart w:id="207" w:name="_Toc79392593"/>
      <w:bookmarkStart w:id="208" w:name="_Toc15118245"/>
      <w:bookmarkStart w:id="209" w:name="_Toc57530252"/>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部分提前终止的利益分配：产品管理人将依照销售文件公布部分提前终止日并指定利益分配日（一般为部分提前终止日之后的【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207"/>
    <w:bookmarkEnd w:id="208"/>
    <w:bookmarkEnd w:id="209"/>
    <w:p>
      <w:pPr>
        <w:pStyle w:val="2"/>
        <w:spacing w:before="0" w:after="0" w:line="360" w:lineRule="auto"/>
        <w:jc w:val="center"/>
        <w:rPr>
          <w:rFonts w:ascii="Times New Roman"/>
          <w:sz w:val="18"/>
          <w:szCs w:val="18"/>
        </w:rPr>
      </w:pPr>
      <w:r>
        <w:rPr>
          <w:rFonts w:ascii="Times New Roman"/>
          <w:b w:val="0"/>
          <w:bCs w:val="0"/>
          <w:kern w:val="2"/>
        </w:rPr>
        <w:br w:type="page"/>
      </w:r>
      <w:bookmarkStart w:id="210" w:name="_Toc92377140"/>
      <w:bookmarkStart w:id="211" w:name="_Toc7953"/>
      <w:bookmarkStart w:id="212" w:name="_Toc123112238"/>
      <w:bookmarkStart w:id="213" w:name="_Toc17920"/>
      <w:bookmarkStart w:id="214" w:name="_Toc141703890"/>
      <w:bookmarkStart w:id="215" w:name="_Toc8791"/>
      <w:bookmarkStart w:id="216" w:name="_Toc123102457"/>
      <w:bookmarkStart w:id="217" w:name="_Toc123051456"/>
      <w:bookmarkStart w:id="218" w:name="_Toc83391975"/>
      <w:bookmarkStart w:id="219" w:name="_Toc32584"/>
      <w:bookmarkStart w:id="220" w:name="_Toc74065747"/>
      <w:bookmarkStart w:id="221" w:name="_Toc79392622"/>
      <w:bookmarkStart w:id="222" w:name="_Toc79154674"/>
      <w:bookmarkStart w:id="223" w:name="_Toc32092"/>
      <w:bookmarkStart w:id="224" w:name="_Toc17198"/>
      <w:bookmarkStart w:id="225" w:name="_Toc21237"/>
      <w:bookmarkStart w:id="226" w:name="_Toc29408"/>
      <w:bookmarkStart w:id="227" w:name="_Toc48649708"/>
      <w:bookmarkStart w:id="228" w:name="_Toc139991740"/>
      <w:bookmarkStart w:id="229" w:name="_Toc98560356"/>
      <w:bookmarkStart w:id="230" w:name="_Toc739"/>
      <w:bookmarkStart w:id="231" w:name="_Toc5170"/>
      <w:bookmarkStart w:id="232" w:name="_Toc3329"/>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210"/>
      <w:bookmarkEnd w:id="211"/>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期间，每个【工作日】向投资者披露一次估值日公告，估值日公告披露的内容包括估值日的产品份额净值、产品份额累计净值等。如遇法定节假日顺延。此外，如遇其他特殊情况，以产品管理人信息披露为准。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
          <w:bCs/>
          <w:sz w:val="18"/>
          <w:szCs w:val="18"/>
        </w:rPr>
        <w:t>并提前2个工作日进行</w:t>
      </w:r>
      <w:r>
        <w:rPr>
          <w:rFonts w:hint="eastAsia" w:ascii="黑体" w:hAnsi="黑体" w:eastAsia="黑体"/>
          <w:b/>
          <w:bCs/>
          <w:sz w:val="18"/>
          <w:szCs w:val="18"/>
        </w:rPr>
        <w:t>公告。若投资者未选择退出本产品的，则视为已理解并接受管理人的相应变更。</w:t>
      </w:r>
    </w:p>
    <w:p>
      <w:pPr>
        <w:spacing w:line="360" w:lineRule="auto"/>
        <w:ind w:firstLine="480" w:firstLineChars="200"/>
        <w:rPr>
          <w:bCs/>
          <w:sz w:val="24"/>
        </w:rPr>
      </w:pPr>
      <w:r>
        <w:rPr>
          <w:sz w:val="24"/>
        </w:rPr>
        <w:br w:type="page"/>
      </w:r>
    </w:p>
    <w:p>
      <w:pPr>
        <w:pStyle w:val="2"/>
        <w:spacing w:before="0" w:after="0" w:line="360" w:lineRule="auto"/>
        <w:jc w:val="center"/>
        <w:rPr>
          <w:rFonts w:ascii="Times New Roman"/>
          <w:b w:val="0"/>
          <w:sz w:val="30"/>
        </w:rPr>
      </w:pPr>
      <w:bookmarkStart w:id="233" w:name="_Toc79154675"/>
      <w:bookmarkStart w:id="234" w:name="_Toc92377141"/>
      <w:bookmarkStart w:id="235" w:name="_Toc30149"/>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233"/>
      <w:bookmarkEnd w:id="234"/>
      <w:bookmarkEnd w:id="235"/>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0" w:firstLineChars="200"/>
        <w:rPr>
          <w:rFonts w:ascii="宋体" w:hAnsi="宋体"/>
          <w:sz w:val="18"/>
          <w:szCs w:val="18"/>
        </w:rPr>
      </w:pPr>
      <w:r>
        <w:rPr>
          <w:rFonts w:hint="eastAsia" w:ascii="宋体" w:hAnsi="宋体"/>
          <w:sz w:val="18"/>
          <w:szCs w:val="18"/>
        </w:rPr>
        <w:t>】</w:t>
      </w:r>
    </w:p>
    <w:p>
      <w:pPr>
        <w:pStyle w:val="15"/>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17"/>
        <w:spacing w:line="360" w:lineRule="auto"/>
        <w:rPr>
          <w:rFonts w:hAnsi="宋体"/>
          <w:sz w:val="18"/>
          <w:szCs w:val="18"/>
        </w:rPr>
      </w:pPr>
    </w:p>
    <w:p/>
    <w:p>
      <w:pPr>
        <w:sectPr>
          <w:headerReference r:id="rId7" w:type="default"/>
          <w:footerReference r:id="rId8" w:type="default"/>
          <w:pgSz w:w="11906" w:h="16838"/>
          <w:pgMar w:top="1276" w:right="1800" w:bottom="1418" w:left="1800" w:header="567" w:footer="964" w:gutter="0"/>
          <w:pgNumType w:fmt="decimal"/>
          <w:cols w:space="425" w:num="1"/>
          <w:docGrid w:type="lines" w:linePitch="312" w:charSpace="0"/>
        </w:sectPr>
      </w:pPr>
    </w:p>
    <w:p>
      <w:pPr>
        <w:widowControl/>
        <w:spacing w:before="156"/>
        <w:jc w:val="center"/>
        <w:rPr>
          <w:rFonts w:ascii="黑体" w:hAnsi="黑体" w:eastAsia="黑体"/>
          <w:b/>
          <w:sz w:val="28"/>
          <w:szCs w:val="28"/>
        </w:rPr>
      </w:pPr>
      <w:r>
        <w:rPr>
          <w:rFonts w:hint="eastAsia" w:ascii="黑体" w:hAnsi="黑体" w:eastAsia="黑体"/>
          <w:b/>
          <w:sz w:val="28"/>
          <w:szCs w:val="28"/>
        </w:rPr>
        <w:t>兴银理财【稳添利最短持有期日开固收类】理财产品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9"/>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t>■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hint="eastAsia" w:ascii="宋体" w:hAnsi="宋体" w:eastAsia="宋体"/>
                <w:bCs/>
                <w:sz w:val="18"/>
                <w:szCs w:val="18"/>
                <w:lang w:eastAsia="zh-CN"/>
              </w:rPr>
            </w:pPr>
            <w:r>
              <w:rPr>
                <w:rFonts w:hint="eastAsia" w:ascii="宋体" w:hAnsi="宋体"/>
                <w:bCs/>
                <w:sz w:val="18"/>
                <w:szCs w:val="18"/>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1720" w:type="dxa"/>
            <w:gridSpan w:val="2"/>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tcBorders>
              <w:bottom w:val="single" w:color="auto" w:sz="12" w:space="0"/>
            </w:tcBorders>
            <w:shd w:val="solid" w:color="FFFFFF" w:fill="FFFFFF"/>
            <w:vAlign w:val="center"/>
          </w:tcPr>
          <w:p>
            <w:pPr>
              <w:pStyle w:val="17"/>
              <w:jc w:val="both"/>
              <w:rPr>
                <w:rFonts w:hint="eastAsia" w:eastAsia="宋体"/>
                <w:lang w:eastAsia="zh-CN"/>
              </w:rPr>
            </w:pPr>
            <w:r>
              <w:rPr>
                <w:rFonts w:hint="eastAsia" w:asciiTheme="majorEastAsia" w:hAnsiTheme="majorEastAsia" w:eastAsiaTheme="majorEastAsia"/>
                <w:bCs/>
                <w:sz w:val="18"/>
                <w:szCs w:val="18"/>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乙方销售性质</w:t>
      </w:r>
    </w:p>
    <w:p>
      <w:pPr>
        <w:widowControl/>
        <w:spacing w:line="360" w:lineRule="auto"/>
        <w:jc w:val="left"/>
        <w:rPr>
          <w:rFonts w:ascii="黑体" w:hAnsi="黑体" w:eastAsia="黑体" w:cs="仿宋_GB2312"/>
          <w:kern w:val="0"/>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直销适用</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pPr>
        <w:widowControl/>
        <w:spacing w:line="360" w:lineRule="auto"/>
        <w:jc w:val="left"/>
        <w:rPr>
          <w:rFonts w:ascii="黑体" w:hAnsi="黑体" w:eastAsia="黑体" w:cs="仿宋_GB2312"/>
          <w:kern w:val="0"/>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代销适用</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将理财产品分为【】个风险等级</w:t>
      </w:r>
      <w:r>
        <w:rPr>
          <w:rFonts w:ascii="宋体" w:hAnsi="宋体" w:cs="仿宋_GB2312"/>
          <w:kern w:val="0"/>
          <w:sz w:val="18"/>
          <w:szCs w:val="18"/>
        </w:rPr>
        <w:t>：</w:t>
      </w:r>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乙方将投资者风险承受能力分为若干</w:t>
      </w:r>
      <w:r>
        <w:rPr>
          <w:rFonts w:hint="eastAsia" w:ascii="宋体" w:hAnsi="宋体" w:cs="仿宋_GB2312"/>
          <w:kern w:val="0"/>
          <w:sz w:val="18"/>
          <w:szCs w:val="18"/>
        </w:rPr>
        <w:t>等级。</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17"/>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4、投资者的风险承受能力评估要求</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（1）甲方为非机构投资者时，甲方购买乙方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（2）其他类型投资者的风险承受能力评估按销售机构的以下销售政策执行：</w:t>
      </w:r>
    </w:p>
    <w:p>
      <w:pPr>
        <w:widowControl/>
        <w:spacing w:line="360" w:lineRule="auto"/>
        <w:jc w:val="left"/>
        <w:rPr>
          <w:rFonts w:asciiTheme="majorEastAsia" w:hAnsiTheme="majorEastAsia" w:eastAsiaTheme="majorEastAsia"/>
          <w:sz w:val="18"/>
          <w:szCs w:val="18"/>
        </w:rPr>
      </w:pPr>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参照本条第（1）款非机构投资者要求执行；</w:t>
      </w:r>
    </w:p>
    <w:p>
      <w:pPr>
        <w:widowControl/>
        <w:spacing w:line="360" w:lineRule="auto"/>
        <w:jc w:val="left"/>
        <w:rPr>
          <w:rFonts w:asciiTheme="majorEastAsia" w:hAnsiTheme="majorEastAsia" w:eastAsiaTheme="majorEastAsia"/>
          <w:sz w:val="18"/>
          <w:szCs w:val="18"/>
        </w:rPr>
      </w:pPr>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其他：</w:t>
      </w:r>
      <w:r>
        <w:rPr>
          <w:rFonts w:hint="eastAsia" w:asciiTheme="majorEastAsia" w:hAnsiTheme="majorEastAsia" w:eastAsiaTheme="majorEastAsia"/>
          <w:sz w:val="18"/>
          <w:szCs w:val="18"/>
          <w:u w:val="single"/>
        </w:rPr>
        <w:t xml:space="preserve">                               。</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w:t>
      </w:r>
      <w:r>
        <w:rPr>
          <w:rFonts w:hint="eastAsia" w:ascii="宋体" w:hAnsi="宋体"/>
          <w:sz w:val="18"/>
          <w:szCs w:val="18"/>
        </w:rPr>
        <w:t>有权处分的合法资金</w:t>
      </w:r>
      <w:r>
        <w:rPr>
          <w:rFonts w:hint="eastAsia" w:ascii="宋体" w:hAnsi="宋体" w:cs="仿宋_GB2312"/>
          <w:kern w:val="0"/>
          <w:sz w:val="18"/>
          <w:szCs w:val="18"/>
        </w:rPr>
        <w:t>，不存在使用贷款、发行债券等筹集的非自有资金投资的情况，投资行为符合法律法规及相关监管部门的规定。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9、甲方在此同意并授权乙方有权根据甲方</w:t>
      </w:r>
      <w:r>
        <w:rPr>
          <w:rFonts w:hint="eastAsia" w:ascii="黑体" w:hAnsi="黑体" w:eastAsia="黑体" w:cs="仿宋_GB2312"/>
          <w:kern w:val="0"/>
          <w:sz w:val="18"/>
          <w:szCs w:val="18"/>
        </w:rPr>
        <w:t>所勾选的业务申请类型对甲方相关资金账户进行资金划扣等相关操作。</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10、对于甲方通过乙方的网上银行、手机银行、可视柜台等线</w:t>
      </w:r>
      <w:r>
        <w:rPr>
          <w:rFonts w:hint="eastAsia" w:ascii="黑体" w:hAnsi="黑体" w:eastAsia="黑体" w:cs="仿宋_GB2312"/>
          <w:kern w:val="0"/>
          <w:sz w:val="18"/>
          <w:szCs w:val="18"/>
        </w:rPr>
        <w:t>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11、甲方在此确认乙方业务申请和办理</w:t>
      </w:r>
      <w:r>
        <w:rPr>
          <w:rFonts w:hint="eastAsia" w:ascii="黑体" w:hAnsi="黑体" w:eastAsia="黑体" w:cs="仿宋_GB2312"/>
          <w:kern w:val="0"/>
          <w:sz w:val="18"/>
          <w:szCs w:val="18"/>
        </w:rPr>
        <w:t>的系统记录以及录音、录像等</w:t>
      </w:r>
      <w:r>
        <w:rPr>
          <w:rFonts w:ascii="黑体" w:hAnsi="黑体" w:eastAsia="黑体" w:cs="仿宋_GB2312"/>
          <w:kern w:val="0"/>
          <w:sz w:val="18"/>
          <w:szCs w:val="18"/>
        </w:rPr>
        <w:t>信息</w:t>
      </w:r>
      <w:r>
        <w:rPr>
          <w:rFonts w:hint="eastAsia" w:ascii="黑体" w:hAnsi="黑体" w:eastAsia="黑体" w:cs="仿宋_GB2312"/>
          <w:kern w:val="0"/>
          <w:sz w:val="18"/>
          <w:szCs w:val="18"/>
        </w:rPr>
        <w:t>构成对甲方操作行为（包括但不限于认购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、赎回）的终局证据，甲方同意乙方上述记录行为，并且在甲方和乙方或产品</w:t>
      </w:r>
      <w:r>
        <w:rPr>
          <w:rFonts w:ascii="黑体" w:hAnsi="黑体" w:eastAsia="黑体" w:cs="仿宋_GB2312"/>
          <w:kern w:val="0"/>
          <w:sz w:val="18"/>
          <w:szCs w:val="18"/>
        </w:rPr>
        <w:t>管理人</w:t>
      </w:r>
      <w:r>
        <w:rPr>
          <w:rFonts w:hint="eastAsia" w:ascii="黑体" w:hAnsi="黑体" w:eastAsia="黑体" w:cs="仿宋_GB2312"/>
          <w:kern w:val="0"/>
          <w:sz w:val="18"/>
          <w:szCs w:val="18"/>
        </w:rPr>
        <w:t>发生争议时可以作为合法有效的证据使用。甲方同意并授权乙方采取有效措施和技术手段记录营销推介、产品风险和关键信息提示、投资者确认和反馈等重点销售环节。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非居民金融账户涉税信息尽职调查、IPO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1、本协议在履行过程中发生的争议，由甲乙双方协商解决，协商不成的，任何一方可向乙方住所地</w:t>
      </w:r>
      <w:r>
        <w:rPr>
          <w:rFonts w:hint="eastAsia" w:ascii="黑体" w:hAnsi="黑体" w:eastAsia="黑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1)甲方已经收到所购买乙方销售的理财产品的《投资协议书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10"/>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ascii="宋体" w:hAnsi="宋体"/>
          <w:b/>
          <w:sz w:val="18"/>
          <w:szCs w:val="18"/>
        </w:r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
    <w:p/>
    <w:p/>
    <w:p/>
    <w:p>
      <w:pPr>
        <w:sectPr>
          <w:headerReference r:id="rId9" w:type="default"/>
          <w:footerReference r:id="rId10" w:type="default"/>
          <w:pgSz w:w="11906" w:h="16838"/>
          <w:pgMar w:top="1440" w:right="1800" w:bottom="1440" w:left="1800" w:header="567" w:footer="964" w:gutter="0"/>
          <w:pgNumType w:fmt="decimal"/>
          <w:cols w:space="425" w:num="1"/>
          <w:docGrid w:type="lines" w:linePitch="312" w:charSpace="0"/>
        </w:sectPr>
      </w:pPr>
    </w:p>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兴银理财【稳添利最短持有期日开固收类】</w:t>
      </w:r>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w:t>
      </w:r>
      <w:r>
        <w:rPr>
          <w:rFonts w:hint="eastAsia" w:ascii="宋体" w:hAnsi="宋体"/>
          <w:sz w:val="18"/>
          <w:szCs w:val="18"/>
        </w:rPr>
        <w:t>兴银理财稳添利周盈20号(7天最短持有期)日开固收类理财产品</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kern w:val="0"/>
          <w:sz w:val="18"/>
          <w:szCs w:val="18"/>
        </w:rPr>
        <w:t>【</w:t>
      </w:r>
      <w:r>
        <w:rPr>
          <w:rFonts w:hint="eastAsia" w:ascii="宋体" w:hAnsi="宋体"/>
          <w:sz w:val="18"/>
          <w:szCs w:val="18"/>
        </w:rPr>
        <w:t>兴银稳添利周盈20号</w:t>
      </w:r>
      <w:r>
        <w:rPr>
          <w:rFonts w:hint="eastAsia" w:ascii="宋体" w:hAnsi="宋体"/>
          <w:sz w:val="18"/>
          <w:szCs w:val="18"/>
          <w:lang w:val="en-US" w:eastAsia="zh-CN"/>
        </w:rPr>
        <w:t>C</w:t>
      </w:r>
      <w:r>
        <w:rPr>
          <w:rFonts w:hint="eastAsia" w:ascii="宋体" w:hAnsi="宋体"/>
          <w:sz w:val="18"/>
          <w:szCs w:val="18"/>
        </w:rPr>
        <w:t>（兴普惠）</w:t>
      </w:r>
      <w:r>
        <w:rPr>
          <w:rFonts w:hint="eastAsia" w:asciiTheme="majorEastAsia" w:hAnsiTheme="majorEastAsia" w:eastAsiaTheme="majorEastAsia"/>
          <w:bCs/>
          <w:kern w:val="0"/>
          <w:sz w:val="18"/>
          <w:szCs w:val="18"/>
        </w:rPr>
        <w:t>】</w:t>
      </w:r>
      <w:r>
        <w:rPr>
          <w:rFonts w:hint="eastAsia" w:ascii="宋体" w:hAnsi="宋体" w:cs="仿宋_GB2312"/>
          <w:kern w:val="0"/>
          <w:sz w:val="18"/>
          <w:szCs w:val="18"/>
        </w:rPr>
        <w:t>（适用【</w:t>
      </w:r>
      <w:r>
        <w:rPr>
          <w:rFonts w:hint="eastAsia" w:ascii="宋体" w:hAnsi="宋体" w:cs="仿宋_GB2312"/>
          <w:kern w:val="0"/>
          <w:sz w:val="18"/>
          <w:szCs w:val="18"/>
          <w:lang w:val="en-US" w:eastAsia="zh-CN"/>
        </w:rPr>
        <w:t>C</w:t>
      </w:r>
      <w:r>
        <w:rPr>
          <w:rFonts w:hint="eastAsia" w:ascii="宋体" w:hAnsi="宋体" w:cs="仿宋_GB2312"/>
          <w:kern w:val="0"/>
          <w:sz w:val="18"/>
          <w:szCs w:val="18"/>
        </w:rPr>
        <w:t>】类份额）</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Theme="minorEastAsia" w:hAnsiTheme="minorEastAsia"/>
          <w:sz w:val="18"/>
          <w:szCs w:val="18"/>
        </w:rPr>
        <w:t>Z7002024001170</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【无固定期限】</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本理财产品风险评级最终定义为【R2</w:t>
      </w:r>
      <w:r>
        <w:rPr>
          <w:rFonts w:ascii="宋体" w:hAnsi="宋体" w:cs="仿宋_GB2312"/>
          <w:kern w:val="0"/>
          <w:sz w:val="18"/>
          <w:szCs w:val="18"/>
        </w:rPr>
        <w:t>】</w:t>
      </w:r>
      <w:r>
        <w:rPr>
          <w:rFonts w:hint="eastAsia" w:ascii="宋体" w:hAnsi="宋体" w:cs="仿宋_GB2312"/>
          <w:kern w:val="0"/>
          <w:sz w:val="18"/>
          <w:szCs w:val="18"/>
        </w:rPr>
        <w:t>（产品管理人定义的产品风险评级为【R2</w:t>
      </w:r>
      <w:r>
        <w:rPr>
          <w:rFonts w:ascii="宋体" w:hAnsi="宋体" w:cs="仿宋_GB2312"/>
          <w:kern w:val="0"/>
          <w:sz w:val="18"/>
          <w:szCs w:val="18"/>
        </w:rPr>
        <w:t>】</w:t>
      </w:r>
      <w:r>
        <w:rPr>
          <w:rFonts w:hint="eastAsia" w:ascii="宋体" w:hAnsi="宋体" w:cs="仿宋_GB2312"/>
          <w:kern w:val="0"/>
          <w:sz w:val="18"/>
          <w:szCs w:val="18"/>
        </w:rPr>
        <w:t>；代理销售机构定义的产品风险评级为【R2】）。</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■个人投资者：【□ C1、■ C2、■ C3、■ C4、■ C5、■ C6】。。</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w:t>
      </w:r>
      <w:bookmarkStart w:id="236" w:name="_GoBack"/>
      <w:bookmarkEnd w:id="236"/>
      <w:r>
        <w:rPr>
          <w:rFonts w:hint="eastAsia" w:asciiTheme="majorEastAsia" w:hAnsiTheme="majorEastAsia" w:eastAsiaTheme="majorEastAsia"/>
          <w:bCs/>
          <w:color w:val="000000" w:themeColor="text1"/>
          <w:sz w:val="18"/>
          <w:szCs w:val="18"/>
          <w14:textFill>
            <w14:solidFill>
              <w14:schemeClr w14:val="tx1"/>
            </w14:solidFill>
          </w14:textFill>
        </w:rPr>
        <w:t>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客户【□</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C2、■ C3、■ C4、■ C5</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ind w:firstLine="360" w:firstLineChars="200"/>
        <w:rPr>
          <w:rFonts w:ascii="宋体" w:hAnsi="宋体"/>
          <w:sz w:val="18"/>
          <w:szCs w:val="18"/>
        </w:rPr>
      </w:pPr>
      <w:r>
        <w:rPr>
          <w:rFonts w:ascii="宋体" w:hAnsi="宋体"/>
          <w:sz w:val="18"/>
          <w:szCs w:val="18"/>
        </w:rPr>
        <w:t xml:space="preserve"> </w:t>
      </w:r>
    </w:p>
    <w:p>
      <w:pPr>
        <w:pStyle w:val="15"/>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pStyle w:val="15"/>
        <w:ind w:firstLine="426" w:firstLineChars="0"/>
        <w:rPr>
          <w:rFonts w:ascii="宋体" w:hAnsi="宋体"/>
          <w:b/>
          <w:bCs/>
          <w:sz w:val="18"/>
          <w:szCs w:val="18"/>
        </w:rPr>
      </w:pPr>
      <w:r>
        <w:rPr>
          <w:rFonts w:hint="eastAsia" w:ascii="宋体" w:hAnsi="宋体"/>
          <w:b/>
          <w:bCs/>
          <w:sz w:val="18"/>
          <w:szCs w:val="18"/>
        </w:rPr>
        <w:t xml:space="preserve">（二）投资者投资本产品可能面临的一般风险主要包括（但不限于）： </w:t>
      </w:r>
    </w:p>
    <w:p>
      <w:pPr>
        <w:pStyle w:val="15"/>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5"/>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5"/>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5"/>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pPr>
        <w:pStyle w:val="15"/>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5"/>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5"/>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5"/>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15"/>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pPr>
        <w:pStyle w:val="15"/>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pPr>
        <w:pStyle w:val="15"/>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15"/>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15"/>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15"/>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15"/>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15"/>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5"/>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pPr>
        <w:pStyle w:val="15"/>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pPr>
        <w:pStyle w:val="15"/>
        <w:ind w:firstLineChars="0"/>
        <w:rPr>
          <w:rFonts w:ascii="宋体" w:hAnsi="宋体"/>
          <w:b/>
          <w:bCs/>
          <w:sz w:val="18"/>
          <w:szCs w:val="18"/>
        </w:rPr>
      </w:pPr>
      <w:r>
        <w:rPr>
          <w:rFonts w:hint="eastAsia" w:ascii="宋体" w:hAnsi="宋体"/>
          <w:b/>
          <w:bCs/>
          <w:sz w:val="18"/>
          <w:szCs w:val="18"/>
        </w:rPr>
        <w:t>17.关联交易风险</w:t>
      </w:r>
    </w:p>
    <w:p>
      <w:pPr>
        <w:pStyle w:val="15"/>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五、【非机构投资者适用】</w:t>
      </w:r>
      <w:r>
        <w:rPr>
          <w:rFonts w:hint="eastAsia" w:ascii="宋体" w:hAnsi="宋体" w:cs="仿宋_GB2312"/>
          <w:kern w:val="0"/>
          <w:sz w:val="18"/>
          <w:szCs w:val="18"/>
        </w:rPr>
        <w:t>《投资者风险承受能力评估问卷》用于评估非机构投资者对金融工具及投资目标的相关风险的态度。非机构投资者可根据评估结果确定所属投资者类型，购买适合的理财产品。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的理财产品适用】当销售机构销售产品风险评级为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jc w:val="right"/>
        <w:rPr>
          <w:rFonts w:hint="eastAsia" w:ascii="宋体" w:hAnsi="宋体" w:eastAsia="宋体"/>
          <w:sz w:val="18"/>
          <w:szCs w:val="18"/>
          <w:lang w:eastAsia="zh-CN"/>
        </w:rPr>
      </w:pPr>
      <w:r>
        <w:rPr>
          <w:rFonts w:hint="eastAsia" w:ascii="宋体" w:hAnsi="宋体"/>
          <w:sz w:val="18"/>
          <w:szCs w:val="18"/>
          <w:lang w:eastAsia="zh-CN"/>
        </w:rPr>
        <w:t xml:space="preserve">销售机构（【】） </w:t>
      </w:r>
      <w:r>
        <w:rPr>
          <w:rFonts w:ascii="宋体" w:hAnsi="宋体"/>
          <w:sz w:val="18"/>
          <w:szCs w:val="18"/>
        </w:rPr>
        <w:br w:type="page"/>
      </w:r>
    </w:p>
    <w:p>
      <w:pPr>
        <w:widowControl/>
        <w:jc w:val="right"/>
        <w:rPr>
          <w:rFonts w:ascii="宋体" w:hAnsi="宋体"/>
          <w:sz w:val="18"/>
          <w:szCs w:val="18"/>
        </w:rPr>
      </w:pPr>
    </w:p>
    <w:p>
      <w:pPr>
        <w:ind w:left="540"/>
        <w:jc w:val="right"/>
        <w:rPr>
          <w:rFonts w:ascii="宋体" w:hAnsi="宋体"/>
          <w:sz w:val="18"/>
          <w:szCs w:val="18"/>
        </w:rPr>
      </w:pPr>
    </w:p>
    <w:p>
      <w:pPr>
        <w:ind w:left="540"/>
        <w:jc w:val="right"/>
        <w:rPr>
          <w:rFonts w:ascii="宋体" w:hAnsi="宋体"/>
          <w:sz w:val="18"/>
          <w:szCs w:val="18"/>
        </w:rPr>
      </w:pPr>
    </w:p>
    <w:tbl>
      <w:tblPr>
        <w:tblStyle w:val="10"/>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10"/>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10"/>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
    <w:p>
      <w:pPr>
        <w:sectPr>
          <w:headerReference r:id="rId11" w:type="default"/>
          <w:footerReference r:id="rId12" w:type="default"/>
          <w:pgSz w:w="11906" w:h="16838"/>
          <w:pgMar w:top="1440" w:right="1800" w:bottom="1440" w:left="1800" w:header="567" w:footer="964" w:gutter="0"/>
          <w:pgNumType w:fmt="decimal"/>
          <w:cols w:space="425" w:num="1"/>
          <w:docGrid w:type="lines" w:linePitch="312" w:charSpace="0"/>
        </w:sectPr>
      </w:pP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兴银理财【</w:t>
      </w:r>
      <w:r>
        <w:rPr>
          <w:rFonts w:hint="eastAsia" w:ascii="黑体" w:hAnsi="黑体" w:eastAsia="黑体"/>
          <w:b/>
          <w:sz w:val="28"/>
          <w:szCs w:val="28"/>
        </w:rPr>
        <w:t>稳添利最短持有期日开固收类</w:t>
      </w:r>
      <w:r>
        <w:rPr>
          <w:rStyle w:val="12"/>
          <w:rFonts w:hint="eastAsia" w:ascii="黑体" w:hAnsi="黑体" w:eastAsia="黑体"/>
          <w:sz w:val="28"/>
          <w:szCs w:val="28"/>
        </w:rPr>
        <w:t>】理财产品</w:t>
      </w: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投资者权益须知</w:t>
      </w:r>
    </w:p>
    <w:p>
      <w:pPr>
        <w:pStyle w:val="17"/>
        <w:jc w:val="center"/>
        <w:rPr>
          <w:rFonts w:hAnsi="宋体"/>
          <w:b/>
          <w:color w:val="auto"/>
          <w:sz w:val="28"/>
          <w:szCs w:val="28"/>
        </w:rPr>
      </w:pPr>
      <w:r>
        <w:rPr>
          <w:rFonts w:hint="eastAsia" w:hAnsi="宋体"/>
          <w:b/>
          <w:color w:val="auto"/>
          <w:sz w:val="28"/>
          <w:szCs w:val="28"/>
        </w:rPr>
        <w:t>（适用于个人投资者）</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hint="eastAsia" w:ascii="宋体" w:hAnsi="宋体"/>
          <w:sz w:val="18"/>
          <w:szCs w:val="18"/>
          <w:lang w:eastAsia="zh-CN"/>
        </w:rPr>
      </w:pPr>
      <w:r>
        <w:rPr>
          <w:rFonts w:hint="eastAsia" w:ascii="宋体" w:hAnsi="宋体"/>
          <w:sz w:val="18"/>
          <w:szCs w:val="18"/>
          <w:lang w:eastAsia="zh-CN"/>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0" w:firstLineChars="200"/>
        <w:rPr>
          <w:rFonts w:ascii="宋体" w:hAnsi="宋体"/>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 xml:space="preserve"> </w:t>
      </w:r>
      <w:r>
        <w:rPr>
          <w:rFonts w:hint="eastAsia" w:ascii="宋体" w:hAnsi="宋体"/>
          <w:sz w:val="18"/>
          <w:szCs w:val="18"/>
        </w:rPr>
        <w:t>您购买理财产品前，应确保已完成风险承受能力评估且风险评估结果在有效期内，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 xml:space="preserve">2. </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投资者风险承受能力，个人投资者由低至高分为【C1至C</w:t>
      </w:r>
      <w:r>
        <w:rPr>
          <w:rFonts w:ascii="宋体" w:hAnsi="宋体"/>
          <w:sz w:val="18"/>
          <w:szCs w:val="18"/>
        </w:rPr>
        <w:t>6六</w:t>
      </w:r>
      <w:r>
        <w:rPr>
          <w:rFonts w:hint="eastAsia" w:ascii="宋体" w:hAnsi="宋体"/>
          <w:sz w:val="18"/>
          <w:szCs w:val="18"/>
        </w:rPr>
        <w:t>个等级】</w:t>
      </w:r>
      <w:r>
        <w:rPr>
          <w:rFonts w:ascii="宋体" w:hAnsi="宋体"/>
          <w:sz w:val="18"/>
          <w:szCs w:val="18"/>
        </w:rPr>
        <w:t>。其中，</w:t>
      </w:r>
      <w:r>
        <w:rPr>
          <w:rFonts w:hint="eastAsia" w:ascii="宋体" w:hAnsi="宋体"/>
          <w:sz w:val="18"/>
          <w:szCs w:val="18"/>
        </w:rPr>
        <w:t>【C1】</w:t>
      </w:r>
      <w:r>
        <w:rPr>
          <w:rFonts w:ascii="宋体" w:hAnsi="宋体"/>
          <w:sz w:val="18"/>
          <w:szCs w:val="18"/>
        </w:rPr>
        <w:t>为风险承受能力最低类别，</w:t>
      </w:r>
      <w:r>
        <w:rPr>
          <w:rFonts w:hint="eastAsia" w:ascii="宋体" w:hAnsi="宋体"/>
          <w:sz w:val="18"/>
          <w:szCs w:val="18"/>
        </w:rPr>
        <w:t>【C6】</w:t>
      </w:r>
      <w:r>
        <w:rPr>
          <w:rFonts w:ascii="宋体" w:hAnsi="宋体"/>
          <w:sz w:val="18"/>
          <w:szCs w:val="18"/>
        </w:rPr>
        <w:t>为风险承受能力最高类别。</w:t>
      </w:r>
      <w:r>
        <w:rPr>
          <w:rFonts w:hint="eastAsia" w:ascii="宋体" w:hAnsi="宋体"/>
          <w:sz w:val="18"/>
          <w:szCs w:val="18"/>
        </w:rPr>
        <w:t>投资者根据其风险承受能力评级购买对应的理财产品。</w:t>
      </w:r>
      <w:r>
        <w:rPr>
          <w:rFonts w:ascii="宋体" w:hAnsi="宋体"/>
          <w:sz w:val="18"/>
          <w:szCs w:val="18"/>
        </w:rPr>
        <w:t>投资者风险承受能力评级类型与适合购买的理财产品的对应关系为：</w:t>
      </w:r>
    </w:p>
    <w:tbl>
      <w:tblPr>
        <w:tblStyle w:val="9"/>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757"/>
        <w:gridCol w:w="486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5" w:hRule="atLeast"/>
          <w:jc w:val="center"/>
        </w:trPr>
        <w:tc>
          <w:tcPr>
            <w:tcW w:w="757" w:type="dxa"/>
            <w:tcBorders>
              <w:top w:val="single" w:color="auto" w:sz="12" w:space="0"/>
              <w:left w:val="single" w:color="auto" w:sz="12" w:space="0"/>
              <w:right w:val="single" w:color="auto" w:sz="4"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安逸型（R1）</w:t>
            </w:r>
          </w:p>
        </w:tc>
        <w:tc>
          <w:tcPr>
            <w:tcW w:w="4860" w:type="dxa"/>
            <w:tcBorders>
              <w:top w:val="single" w:color="auto" w:sz="12" w:space="0"/>
              <w:left w:val="single" w:color="auto" w:sz="4"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本金风险低，产品投资目标不能实现的概率较低；或投资范围仅限于货币市场工具等风险极低的短期金融资产。</w:t>
            </w:r>
          </w:p>
        </w:tc>
        <w:tc>
          <w:tcPr>
            <w:tcW w:w="2865" w:type="dxa"/>
            <w:tcBorders>
              <w:top w:val="single" w:color="auto" w:sz="12" w:space="0"/>
              <w:left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安逸型（C1）及以上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谨慎型（R2）</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本金风险相对较小，收益浮动但相对较小。产品结构简单，过往业绩及净值的历史波动率低；投资标的流动性很好或为较高等级的信用主体；或者衍生品及杠杆交易对净值波动极小；估值政策清晰。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谨慎型（C2）及以上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稳健型（R3）</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有一定的本金风险，收益浮动且有一定波动。产品结构简单，过往业绩及净值的历史波动率较低；投资标的流动性好或为中等及以上的信用主体；或者投资衍生品以套期保值为目的，衍生品及杠杆交易对净值波动较小；估值政策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稳健型（C3）及以上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增长型（R4）</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较大。产品主要投资于流动性较好的投资标的，产品结构简单，但收益浮动且波动很大，过往业绩及净值的历史波动率较高；或者投资标的流动性较差或为中等以下的信用主体，但产品结构简单，且不投资于衍生品及杠杆交易；估值政策简单；或者投资衍生品以套期保值为目的，衍生品及杠杆交易对净值波动较大，估值政策较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增长型（C4）及以上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进取型（R5）</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很大，收益浮动且波动很大。产品结构较复杂，过往业绩及净值的历史波动率高；或者投资标的流动性较差或为低等级的信用主体，期限较长；或者投资衍生品以追求收益为目的，衍生品及杠杆交易对净值波动很大；估值政策较复杂。投资者要作出谨慎的产品选择，积极的关注相关风险。</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进取型（C5）及以上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激进型（R6）</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极大，收益浮动且波动极大。产品结构复杂，过往业绩及净值的历史波动率很高；或者投资标的流动性很差或为极低等级的信用主体，期限很长；或者投资衍生品以追求收益为目的，衍生品及杠杆交易对净值波动极大；估值政策非常复杂。投资者需要非常谨慎的产品选择、十分积极的关注相关风险。</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 xml:space="preserve">激进型（C6） </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3、销售机构：【】</w:t>
      </w:r>
    </w:p>
    <w:p>
      <w:pPr>
        <w:ind w:firstLine="360" w:firstLineChars="200"/>
        <w:rPr>
          <w:rFonts w:ascii="宋体" w:hAnsi="宋体"/>
          <w:sz w:val="18"/>
          <w:szCs w:val="18"/>
        </w:rPr>
      </w:pPr>
      <w:r>
        <w:rPr>
          <w:rFonts w:hint="eastAsia" w:ascii="宋体" w:hAnsi="宋体"/>
          <w:sz w:val="18"/>
          <w:szCs w:val="18"/>
        </w:rPr>
        <w:t>【】</w:t>
      </w:r>
    </w:p>
    <w:p>
      <w:pPr>
        <w:autoSpaceDE w:val="0"/>
        <w:autoSpaceDN w:val="0"/>
        <w:adjustRightInd w:val="0"/>
        <w:jc w:val="left"/>
        <w:rPr>
          <w:rFonts w:ascii="仿宋_GB2312" w:eastAsia="仿宋_GB2312" w:cs="仿宋_GB2312"/>
          <w:color w:val="000000"/>
          <w:kern w:val="0"/>
          <w:sz w:val="24"/>
          <w:szCs w:val="24"/>
        </w:rPr>
      </w:pPr>
    </w:p>
    <w:p>
      <w:pPr>
        <w:jc w:val="right"/>
        <w:rPr>
          <w:rFonts w:ascii="宋体" w:hAnsi="宋体"/>
          <w:sz w:val="18"/>
          <w:szCs w:val="18"/>
        </w:rPr>
      </w:pPr>
    </w:p>
    <w:p>
      <w:pPr>
        <w:ind w:right="84" w:rightChars="40"/>
        <w:jc w:val="right"/>
        <w:rPr>
          <w:rFonts w:ascii="宋体" w:hAnsi="宋体"/>
          <w:sz w:val="18"/>
          <w:szCs w:val="18"/>
        </w:rPr>
      </w:pPr>
      <w:r>
        <w:rPr>
          <w:rFonts w:ascii="宋体" w:hAnsi="宋体"/>
          <w:sz w:val="18"/>
          <w:szCs w:val="18"/>
        </w:rPr>
        <w:t xml:space="preserve"> </w:t>
      </w:r>
    </w:p>
    <w:p>
      <w:pPr>
        <w:widowControl/>
        <w:jc w:val="left"/>
        <w:rPr>
          <w:rFonts w:ascii="宋体" w:hAnsi="宋体"/>
          <w:b/>
          <w:sz w:val="28"/>
          <w:szCs w:val="28"/>
        </w:rPr>
      </w:pPr>
      <w:r>
        <w:rPr>
          <w:rFonts w:ascii="宋体" w:hAnsi="宋体"/>
          <w:b/>
          <w:sz w:val="28"/>
          <w:szCs w:val="28"/>
        </w:rPr>
        <w:br w:type="page"/>
      </w:r>
    </w:p>
    <w:p>
      <w:pPr>
        <w:adjustRightInd w:val="0"/>
        <w:spacing w:line="280" w:lineRule="atLeast"/>
        <w:jc w:val="center"/>
        <w:rPr>
          <w:rStyle w:val="12"/>
          <w:rFonts w:ascii="黑体" w:hAnsi="黑体" w:eastAsia="黑体"/>
          <w:sz w:val="28"/>
          <w:szCs w:val="28"/>
        </w:rPr>
      </w:pPr>
      <w:r>
        <w:rPr>
          <w:rStyle w:val="12"/>
          <w:rFonts w:hint="eastAsia" w:ascii="黑体" w:hAnsi="黑体" w:eastAsia="黑体"/>
          <w:sz w:val="28"/>
          <w:szCs w:val="28"/>
        </w:rPr>
        <w:t>兴银理财【</w:t>
      </w:r>
      <w:r>
        <w:rPr>
          <w:rFonts w:hint="eastAsia" w:ascii="黑体" w:hAnsi="黑体" w:eastAsia="黑体"/>
          <w:b/>
          <w:sz w:val="28"/>
          <w:szCs w:val="28"/>
        </w:rPr>
        <w:t>稳添利最短持有期日开固收类</w:t>
      </w:r>
      <w:r>
        <w:rPr>
          <w:rStyle w:val="12"/>
          <w:rFonts w:hint="eastAsia" w:ascii="黑体" w:hAnsi="黑体" w:eastAsia="黑体"/>
          <w:sz w:val="28"/>
          <w:szCs w:val="28"/>
        </w:rPr>
        <w:t>】理财产品</w:t>
      </w:r>
    </w:p>
    <w:p>
      <w:pPr>
        <w:adjustRightInd w:val="0"/>
        <w:spacing w:line="280" w:lineRule="atLeast"/>
        <w:jc w:val="center"/>
        <w:rPr>
          <w:rStyle w:val="12"/>
          <w:rFonts w:ascii="黑体" w:hAnsi="黑体" w:eastAsia="黑体"/>
          <w:sz w:val="28"/>
          <w:szCs w:val="28"/>
        </w:rPr>
      </w:pPr>
      <w:r>
        <w:rPr>
          <w:rStyle w:val="12"/>
          <w:rFonts w:hint="eastAsia" w:ascii="黑体" w:hAnsi="黑体" w:eastAsia="黑体"/>
          <w:sz w:val="28"/>
          <w:szCs w:val="28"/>
        </w:rPr>
        <w:t>投资者权益须知</w:t>
      </w:r>
    </w:p>
    <w:p>
      <w:pPr>
        <w:pStyle w:val="17"/>
        <w:spacing w:line="280" w:lineRule="atLeast"/>
        <w:jc w:val="center"/>
        <w:rPr>
          <w:rFonts w:hAnsi="宋体"/>
          <w:b/>
          <w:color w:val="auto"/>
          <w:sz w:val="28"/>
          <w:szCs w:val="28"/>
        </w:rPr>
      </w:pPr>
      <w:r>
        <w:rPr>
          <w:rFonts w:hint="eastAsia" w:hAnsi="宋体"/>
          <w:b/>
          <w:color w:val="auto"/>
          <w:sz w:val="28"/>
          <w:szCs w:val="28"/>
        </w:rPr>
        <w:t>（适用于机构投资者：</w:t>
      </w:r>
      <w:r>
        <w:rPr>
          <w:rFonts w:hAnsi="宋体"/>
          <w:b/>
          <w:color w:val="auto"/>
          <w:sz w:val="28"/>
          <w:szCs w:val="28"/>
        </w:rPr>
        <w:t>一般机构客户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hint="eastAsia" w:ascii="宋体" w:hAnsi="宋体"/>
          <w:sz w:val="18"/>
          <w:szCs w:val="18"/>
          <w:lang w:eastAsia="zh-CN"/>
        </w:rPr>
      </w:pPr>
      <w:r>
        <w:rPr>
          <w:rFonts w:hint="eastAsia" w:ascii="宋体" w:hAnsi="宋体"/>
          <w:sz w:val="18"/>
          <w:szCs w:val="18"/>
          <w:lang w:eastAsia="zh-CN"/>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宋体" w:hAnsi="宋体"/>
          <w:sz w:val="18"/>
          <w:szCs w:val="18"/>
        </w:rPr>
      </w:pPr>
      <w:r>
        <w:rPr>
          <w:rFonts w:hint="eastAsia" w:ascii="宋体" w:hAnsi="宋体"/>
          <w:sz w:val="18"/>
          <w:szCs w:val="18"/>
        </w:rPr>
        <w:t>1.</w:t>
      </w:r>
      <w:r>
        <w:rPr>
          <w:rFonts w:ascii="宋体" w:hAnsi="宋体"/>
          <w:sz w:val="18"/>
          <w:szCs w:val="18"/>
        </w:rPr>
        <w:t xml:space="preserve"> </w:t>
      </w:r>
      <w:r>
        <w:rPr>
          <w:rFonts w:hint="eastAsia" w:ascii="宋体" w:hAnsi="宋体"/>
          <w:sz w:val="18"/>
          <w:szCs w:val="18"/>
        </w:rPr>
        <w:t>您购买理财产品前，应确保已完成风险承受能力评估且风险评估结果在有效期内。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宋体" w:hAnsi="宋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 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投资者风险承受能力，机构投资者由低至高分为【】</w:t>
      </w:r>
      <w:r>
        <w:rPr>
          <w:rFonts w:ascii="宋体" w:hAnsi="宋体"/>
          <w:sz w:val="18"/>
          <w:szCs w:val="18"/>
        </w:rPr>
        <w:t>。其中，</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w:t>
      </w:r>
      <w:r>
        <w:rPr>
          <w:rFonts w:ascii="宋体" w:hAnsi="宋体"/>
          <w:sz w:val="18"/>
          <w:szCs w:val="18"/>
        </w:rPr>
        <w:t>为风险承受能力最高类别。</w:t>
      </w:r>
      <w:r>
        <w:rPr>
          <w:rFonts w:hint="eastAsia" w:ascii="宋体" w:hAnsi="宋体"/>
          <w:sz w:val="18"/>
          <w:szCs w:val="18"/>
        </w:rPr>
        <w:t>投资者根据其风险承受能力评级购买对应的理财产品。</w:t>
      </w:r>
      <w:r>
        <w:rPr>
          <w:rFonts w:ascii="宋体" w:hAnsi="宋体"/>
          <w:sz w:val="18"/>
          <w:szCs w:val="18"/>
        </w:rPr>
        <w:t>投资者风险承受能力评级类型与适合购买的理财产品的对应关系为：</w:t>
      </w:r>
    </w:p>
    <w:tbl>
      <w:tblPr>
        <w:tblStyle w:val="9"/>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777"/>
        <w:gridCol w:w="484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spacing w:line="280" w:lineRule="atLeast"/>
        <w:ind w:firstLine="361" w:firstLineChars="200"/>
        <w:rPr>
          <w:rFonts w:asciiTheme="minorEastAsia" w:hAnsiTheme="minorEastAsia"/>
          <w:sz w:val="18"/>
          <w:szCs w:val="18"/>
        </w:rPr>
      </w:pP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3、销售机构：【】</w:t>
      </w:r>
    </w:p>
    <w:p>
      <w:pPr>
        <w:ind w:firstLine="360" w:firstLineChars="200"/>
        <w:rPr>
          <w:rFonts w:ascii="宋体" w:hAnsi="宋体"/>
          <w:sz w:val="18"/>
          <w:szCs w:val="18"/>
        </w:rPr>
      </w:pPr>
      <w:r>
        <w:rPr>
          <w:rFonts w:hint="eastAsia" w:ascii="宋体" w:hAnsi="宋体"/>
          <w:sz w:val="18"/>
          <w:szCs w:val="18"/>
        </w:rPr>
        <w:t>【】</w:t>
      </w:r>
    </w:p>
    <w:p>
      <w:pPr>
        <w:autoSpaceDE w:val="0"/>
        <w:autoSpaceDN w:val="0"/>
        <w:adjustRightInd w:val="0"/>
        <w:spacing w:line="280" w:lineRule="atLeast"/>
        <w:jc w:val="left"/>
        <w:rPr>
          <w:rFonts w:ascii="仿宋_GB2312" w:eastAsia="仿宋_GB2312" w:cs="仿宋_GB2312"/>
          <w:color w:val="000000"/>
          <w:kern w:val="0"/>
          <w:sz w:val="24"/>
          <w:szCs w:val="24"/>
        </w:rPr>
      </w:pPr>
    </w:p>
    <w:p>
      <w:pPr>
        <w:autoSpaceDE w:val="0"/>
        <w:autoSpaceDN w:val="0"/>
        <w:adjustRightInd w:val="0"/>
        <w:spacing w:line="280" w:lineRule="atLeast"/>
        <w:jc w:val="left"/>
        <w:rPr>
          <w:rFonts w:ascii="仿宋_GB2312" w:eastAsia="仿宋_GB2312" w:cs="仿宋_GB2312"/>
          <w:color w:val="000000"/>
          <w:kern w:val="0"/>
          <w:sz w:val="24"/>
          <w:szCs w:val="24"/>
        </w:rPr>
      </w:pPr>
    </w:p>
    <w:p>
      <w:pPr>
        <w:spacing w:line="280" w:lineRule="atLeast"/>
        <w:jc w:val="right"/>
        <w:rPr>
          <w:rFonts w:ascii="宋体" w:hAnsi="宋体"/>
          <w:sz w:val="18"/>
          <w:szCs w:val="18"/>
        </w:rPr>
      </w:pPr>
    </w:p>
    <w:p>
      <w:pPr>
        <w:spacing w:line="280" w:lineRule="atLeast"/>
        <w:ind w:right="84" w:rightChars="40"/>
        <w:jc w:val="right"/>
        <w:rPr>
          <w:rFonts w:ascii="宋体" w:hAnsi="宋体"/>
          <w:sz w:val="18"/>
          <w:szCs w:val="18"/>
        </w:rPr>
      </w:pPr>
    </w:p>
    <w:p>
      <w:pPr>
        <w:widowControl/>
        <w:spacing w:line="280" w:lineRule="atLeast"/>
        <w:jc w:val="left"/>
        <w:rPr>
          <w:rFonts w:ascii="宋体" w:hAnsi="宋体"/>
          <w:b/>
          <w:sz w:val="28"/>
          <w:szCs w:val="28"/>
        </w:rPr>
      </w:pPr>
      <w:r>
        <w:rPr>
          <w:rFonts w:ascii="宋体" w:hAnsi="宋体"/>
          <w:b/>
          <w:sz w:val="28"/>
          <w:szCs w:val="28"/>
        </w:rPr>
        <w:br w:type="page"/>
      </w: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兴银理财【</w:t>
      </w:r>
      <w:r>
        <w:rPr>
          <w:rFonts w:hint="eastAsia" w:ascii="黑体" w:hAnsi="黑体" w:eastAsia="黑体"/>
          <w:b/>
          <w:sz w:val="28"/>
          <w:szCs w:val="28"/>
        </w:rPr>
        <w:t>稳添利最短持有期日开固收类</w:t>
      </w:r>
      <w:r>
        <w:rPr>
          <w:rStyle w:val="12"/>
          <w:rFonts w:hint="eastAsia" w:ascii="黑体" w:hAnsi="黑体" w:eastAsia="黑体"/>
          <w:sz w:val="28"/>
          <w:szCs w:val="28"/>
        </w:rPr>
        <w:t>】理财产品</w:t>
      </w: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投资者权益须知</w:t>
      </w:r>
    </w:p>
    <w:p>
      <w:pPr>
        <w:pStyle w:val="17"/>
        <w:jc w:val="center"/>
        <w:rPr>
          <w:rFonts w:hAnsi="宋体"/>
          <w:b/>
          <w:color w:val="auto"/>
          <w:sz w:val="28"/>
          <w:szCs w:val="28"/>
        </w:rPr>
      </w:pPr>
      <w:r>
        <w:rPr>
          <w:rFonts w:hint="eastAsia" w:hAnsi="宋体"/>
          <w:b/>
          <w:color w:val="auto"/>
          <w:sz w:val="28"/>
          <w:szCs w:val="28"/>
        </w:rPr>
        <w:t>（适用于机构投资者：金融</w:t>
      </w:r>
      <w:r>
        <w:rPr>
          <w:rFonts w:hAnsi="宋体"/>
          <w:b/>
          <w:color w:val="auto"/>
          <w:sz w:val="28"/>
          <w:szCs w:val="28"/>
        </w:rPr>
        <w:t>同业客户</w:t>
      </w:r>
      <w:r>
        <w:rPr>
          <w:rFonts w:hint="eastAsia" w:hAnsi="宋体"/>
          <w:b/>
          <w:color w:val="auto"/>
          <w:sz w:val="28"/>
          <w:szCs w:val="28"/>
        </w:rPr>
        <w:t>）</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hint="eastAsia" w:ascii="宋体" w:hAnsi="宋体"/>
          <w:sz w:val="18"/>
          <w:szCs w:val="18"/>
          <w:lang w:eastAsia="zh-CN"/>
        </w:rPr>
      </w:pPr>
      <w:r>
        <w:rPr>
          <w:rFonts w:hint="eastAsia" w:ascii="宋体" w:hAnsi="宋体"/>
          <w:sz w:val="18"/>
          <w:szCs w:val="18"/>
          <w:lang w:eastAsia="zh-CN"/>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1" w:firstLineChars="200"/>
        <w:rPr>
          <w:rFonts w:ascii="宋体" w:hAnsi="宋体"/>
          <w:b/>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0" w:firstLineChars="200"/>
        <w:rPr>
          <w:rFonts w:ascii="宋体" w:hAnsi="宋体"/>
          <w:sz w:val="18"/>
          <w:szCs w:val="18"/>
        </w:rPr>
      </w:pPr>
      <w:r>
        <w:rPr>
          <w:rFonts w:hint="eastAsia" w:ascii="宋体" w:hAnsi="宋体"/>
          <w:sz w:val="18"/>
          <w:szCs w:val="18"/>
        </w:rPr>
        <w:t>鉴于您为金融同业客户，销售机构暂不对您进行风险承受能力评估，请您根据您自身的</w:t>
      </w:r>
      <w:r>
        <w:rPr>
          <w:rFonts w:ascii="宋体" w:hAnsi="宋体"/>
          <w:sz w:val="18"/>
          <w:szCs w:val="18"/>
        </w:rPr>
        <w:t>风险承受能力购买</w:t>
      </w:r>
      <w:r>
        <w:rPr>
          <w:rFonts w:hint="eastAsia" w:ascii="宋体" w:hAnsi="宋体"/>
          <w:sz w:val="18"/>
          <w:szCs w:val="18"/>
        </w:rPr>
        <w:t>产品风险评级适合您的</w:t>
      </w:r>
      <w:r>
        <w:rPr>
          <w:rFonts w:ascii="宋体" w:hAnsi="宋体"/>
          <w:sz w:val="18"/>
          <w:szCs w:val="18"/>
        </w:rPr>
        <w:t>理财产品</w:t>
      </w:r>
      <w:r>
        <w:rPr>
          <w:rFonts w:hint="eastAsia" w:ascii="宋体" w:hAnsi="宋体"/>
          <w:sz w:val="18"/>
          <w:szCs w:val="18"/>
        </w:rPr>
        <w:t>。</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bCs/>
          <w:sz w:val="18"/>
          <w:szCs w:val="18"/>
        </w:rPr>
      </w:pPr>
      <w:r>
        <w:rPr>
          <w:rFonts w:hint="eastAsia" w:ascii="宋体" w:hAnsi="宋体"/>
          <w:b/>
          <w:bCs/>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3、销售机构：【】</w:t>
      </w:r>
    </w:p>
    <w:p>
      <w:pPr>
        <w:ind w:firstLine="360" w:firstLineChars="200"/>
        <w:rPr>
          <w:rFonts w:ascii="宋体" w:hAnsi="宋体"/>
          <w:sz w:val="18"/>
          <w:szCs w:val="18"/>
        </w:rPr>
      </w:pPr>
      <w:r>
        <w:rPr>
          <w:rFonts w:hint="eastAsia" w:ascii="宋体" w:hAnsi="宋体"/>
          <w:sz w:val="18"/>
          <w:szCs w:val="18"/>
        </w:rPr>
        <w:t>【】</w:t>
      </w:r>
    </w:p>
    <w:p/>
    <w:p/>
    <w:p/>
    <w:sectPr>
      <w:headerReference r:id="rId13" w:type="default"/>
      <w:footerReference r:id="rId14" w:type="default"/>
      <w:pgSz w:w="11906" w:h="16838"/>
      <w:pgMar w:top="1440" w:right="1800" w:bottom="1440" w:left="1800" w:header="567" w:footer="964"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sdt>
    <w:sdtPr>
      <w:id w:val="-408925579"/>
      <w:showingPlcHdr/>
    </w:sdtPr>
    <w:sdtContent>
      <w:p>
        <w:pPr>
          <w:pStyle w:val="4"/>
          <w:jc w:val="center"/>
          <w:rPr>
            <w:rFonts w:ascii="黑体" w:hAnsi="黑体" w:eastAsia="黑体"/>
            <w:szCs w:val="18"/>
          </w:rP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sdt>
    <w:sdtPr>
      <w:id w:val="23715647"/>
      <w:showingPlcHdr/>
    </w:sdtPr>
    <w:sdtContent>
      <w:p>
        <w:pPr>
          <w:pStyle w:val="4"/>
          <w:jc w:val="center"/>
        </w:pPr>
      </w:p>
    </w:sdtContent>
  </w:sdt>
  <w:p>
    <w:pPr>
      <w:pStyle w:val="3"/>
      <w:jc w:val="both"/>
      <w:rPr>
        <w:rFonts w:ascii="黑体" w:hAnsi="黑体" w:eastAsia="黑体"/>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57</w:t>
    </w:r>
    <w:r>
      <w:rPr>
        <w:rStyle w:val="13"/>
      </w:rPr>
      <w:fldChar w:fldCharType="end"/>
    </w:r>
  </w:p>
  <w:sdt>
    <w:sdtPr>
      <w:id w:val="-1184442659"/>
      <w:showingPlcHdr/>
    </w:sdtPr>
    <w:sdtContent>
      <w:p>
        <w:pPr>
          <w:pStyle w:val="4"/>
          <w:jc w:val="center"/>
        </w:pP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63</w:t>
    </w:r>
    <w:r>
      <w:rPr>
        <w:rStyle w:val="13"/>
      </w:rPr>
      <w:fldChar w:fldCharType="end"/>
    </w:r>
  </w:p>
  <w:sdt>
    <w:sdtPr>
      <w:id w:val="1652492923"/>
      <w:showingPlcHdr/>
    </w:sdtPr>
    <w:sdtContent>
      <w:p>
        <w:pPr>
          <w:pStyle w:val="4"/>
          <w:jc w:val="center"/>
        </w:pPr>
      </w:p>
    </w:sdtContent>
  </w:sdt>
  <w:p>
    <w:pPr>
      <w:pStyle w:val="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b/>
      </w:rPr>
    </w:pPr>
    <w:r>
      <w:rPr>
        <w:rFonts w:hint="eastAsia"/>
        <w:b/>
      </w:rPr>
      <w:t>投资协议书</w:t>
    </w:r>
  </w:p>
  <w:p>
    <w:pPr>
      <w:pStyle w:val="5"/>
      <w:jc w:val="right"/>
      <w:rPr>
        <w:b/>
      </w:rPr>
    </w:pPr>
    <w:r>
      <w:rPr>
        <w:rFonts w:hint="eastAsia"/>
        <w:b/>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5"/>
      <w:pBdr>
        <w:bottom w:val="none" w:color="auto" w:sz="0" w:space="0"/>
      </w:pBdr>
      <w:jc w:val="right"/>
      <w:rPr>
        <w:rFonts w:ascii="Times New Roman" w:hAnsi="Times New Roman" w:cs="Times New Roman"/>
        <w:b/>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rPr>
      <w:t xml:space="preserve">                             </w:t>
    </w:r>
    <w:r>
      <w:t xml:space="preserve">    </w:t>
    </w:r>
    <w:r>
      <w:rPr>
        <w:rFonts w:hint="eastAsia"/>
      </w:rPr>
      <w:t xml:space="preserve"> </w:t>
    </w:r>
    <w:r>
      <w:t xml:space="preserve">                    </w:t>
    </w:r>
    <w:r>
      <w:rPr>
        <w:rFonts w:hint="eastAsia" w:ascii="Times New Roman" w:hAnsi="Times New Roman" w:eastAsia="宋体" w:cs="Times New Roman"/>
        <w:b/>
        <w:szCs w:val="20"/>
      </w:rPr>
      <w:t>（代理）销售协议书</w:t>
    </w:r>
  </w:p>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投资者权益须知</w:t>
    </w:r>
  </w:p>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F32E3E"/>
    <w:rsid w:val="2C2251D3"/>
    <w:rsid w:val="30207C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character" w:default="1" w:styleId="11">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99"/>
    <w:pPr>
      <w:widowControl/>
      <w:jc w:val="left"/>
    </w:pPr>
    <w:rPr>
      <w:rFonts w:ascii="宋体" w:hAnsi="宋体"/>
      <w:kern w:val="0"/>
      <w:sz w:val="24"/>
      <w:szCs w:val="24"/>
    </w:rPr>
  </w:style>
  <w:style w:type="paragraph" w:styleId="4">
    <w:name w:val="footer"/>
    <w:basedOn w:val="1"/>
    <w:qFormat/>
    <w:uiPriority w:val="99"/>
    <w:pPr>
      <w:tabs>
        <w:tab w:val="center" w:pos="4153"/>
        <w:tab w:val="right" w:pos="8306"/>
      </w:tabs>
      <w:snapToGrid w:val="0"/>
      <w:jc w:val="left"/>
    </w:pPr>
    <w:rPr>
      <w:sz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rPr>
  </w:style>
  <w:style w:type="paragraph" w:styleId="6">
    <w:name w:val="toc 1"/>
    <w:basedOn w:val="1"/>
    <w:next w:val="1"/>
    <w:qFormat/>
    <w:uiPriority w:val="39"/>
    <w:pPr>
      <w:tabs>
        <w:tab w:val="right" w:leader="dot" w:pos="8296"/>
      </w:tabs>
      <w:spacing w:line="360" w:lineRule="auto"/>
    </w:pPr>
  </w:style>
  <w:style w:type="paragraph" w:styleId="7">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22"/>
    <w:rPr>
      <w:b/>
      <w:bCs/>
    </w:rPr>
  </w:style>
  <w:style w:type="character" w:styleId="13">
    <w:name w:val="page number"/>
    <w:basedOn w:val="11"/>
    <w:qFormat/>
    <w:uiPriority w:val="0"/>
  </w:style>
  <w:style w:type="character" w:styleId="14">
    <w:name w:val="annotation reference"/>
    <w:qFormat/>
    <w:uiPriority w:val="99"/>
    <w:rPr>
      <w:sz w:val="21"/>
      <w:szCs w:val="21"/>
    </w:rPr>
  </w:style>
  <w:style w:type="paragraph" w:styleId="15">
    <w:name w:val="List Paragraph"/>
    <w:basedOn w:val="1"/>
    <w:qFormat/>
    <w:uiPriority w:val="0"/>
    <w:pPr>
      <w:ind w:firstLine="420" w:firstLineChars="200"/>
    </w:pPr>
  </w:style>
  <w:style w:type="paragraph" w:customStyle="1" w:styleId="1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paragraph" w:customStyle="1" w:styleId="17">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1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customStyle="1" w:styleId="19">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image" Target="media/image2.jpeg"/><Relationship Id="rId16" Type="http://schemas.openxmlformats.org/officeDocument/2006/relationships/image" Target="media/image1.jpeg"/><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74</Pages>
  <Words>50247</Words>
  <Characters>51061</Characters>
  <Lines>0</Lines>
  <Paragraphs>0</Paragraphs>
  <TotalTime>0</TotalTime>
  <ScaleCrop>false</ScaleCrop>
  <LinksUpToDate>false</LinksUpToDate>
  <CharactersWithSpaces>51652</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2024-10-23T03:43:00Z</dcterms:created>
  <dc:creator>cib</dc:creator>
  <cp:lastModifiedBy>Administrator</cp:lastModifiedBy>
  <dcterms:modified xsi:type="dcterms:W3CDTF">2024-10-23T09:50:05Z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C626FB17D0804F599B8F504BA3D4D5AC</vt:lpwstr>
  </property>
</Properties>
</file>