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兴银理财【稳添利最短持有期日开固收类】理财产品</w:t>
      </w:r>
    </w:p>
    <w:p>
      <w:pPr>
        <w:widowControl/>
        <w:spacing w:line="360" w:lineRule="auto"/>
        <w:jc w:val="center"/>
        <w:rPr>
          <w:b/>
          <w:szCs w:val="21"/>
        </w:rPr>
      </w:pPr>
      <w:r>
        <w:rPr>
          <w:rFonts w:hint="eastAsia" w:ascii="黑体" w:hAnsi="黑体" w:eastAsia="黑体"/>
          <w:b/>
          <w:sz w:val="44"/>
          <w:szCs w:val="44"/>
        </w:rPr>
        <w:t>销售文件</w:t>
      </w:r>
    </w:p>
    <w:tbl>
      <w:tblPr>
        <w:tblStyle w:val="10"/>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兴银理财【稳添利最短持有期日开固收类】理财产品产品说明书</w:t>
            </w:r>
          </w:p>
        </w:tc>
        <w:tc>
          <w:tcPr>
            <w:tcW w:w="2107" w:type="dxa"/>
          </w:tcPr>
          <w:p>
            <w:pPr>
              <w:pStyle w:val="15"/>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兴银理财【稳添利最短持有期日开固收类】理财产品（代理）销售协议书</w:t>
            </w:r>
          </w:p>
        </w:tc>
        <w:tc>
          <w:tcPr>
            <w:tcW w:w="2107"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15"/>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headerReference r:id="rId3" w:type="default"/>
          <w:footerReference r:id="rId4" w:type="default"/>
          <w:pgSz w:w="11906" w:h="16838"/>
          <w:pgMar w:top="1440" w:right="1800" w:bottom="1440" w:left="1800" w:header="567" w:footer="964" w:gutter="0"/>
          <w:pgNumType w:fmt="decimal"/>
          <w:cols w:space="720" w:num="1"/>
          <w:titlePg/>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兴银理财【稳添利最短持有期日开固收类】理财产品</w:t>
      </w: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2"/>
          <w:rFonts w:ascii="宋体" w:hAnsi="宋体"/>
          <w:sz w:val="28"/>
          <w:szCs w:val="28"/>
        </w:rPr>
      </w:pPr>
      <w:bookmarkStart w:id="0" w:name="_Toc123112263"/>
      <w:bookmarkStart w:id="1" w:name="_Toc139992301"/>
      <w:bookmarkStart w:id="2" w:name="_Toc123112224"/>
      <w:bookmarkStart w:id="3" w:name="_Toc139991726"/>
      <w:bookmarkStart w:id="4" w:name="_Toc123701383"/>
      <w:r>
        <w:rPr>
          <w:rStyle w:val="12"/>
          <w:rFonts w:hint="eastAsia" w:ascii="宋体" w:hAnsi="宋体"/>
          <w:sz w:val="28"/>
          <w:szCs w:val="28"/>
        </w:rPr>
        <w:t>理财产品管理人：</w:t>
      </w:r>
      <w:bookmarkEnd w:id="0"/>
      <w:bookmarkEnd w:id="1"/>
      <w:bookmarkEnd w:id="2"/>
      <w:bookmarkEnd w:id="3"/>
      <w:bookmarkEnd w:id="4"/>
      <w:r>
        <w:rPr>
          <w:rStyle w:val="12"/>
          <w:rFonts w:hint="eastAsia" w:ascii="宋体" w:hAnsi="宋体"/>
          <w:sz w:val="28"/>
          <w:szCs w:val="28"/>
        </w:rPr>
        <w:t>兴银理财有限责任公司</w:t>
      </w:r>
    </w:p>
    <w:p>
      <w:pPr>
        <w:adjustRightInd w:val="0"/>
        <w:spacing w:line="360" w:lineRule="auto"/>
        <w:jc w:val="center"/>
        <w:rPr>
          <w:rStyle w:val="12"/>
          <w:rFonts w:ascii="黑体" w:hAnsi="黑体" w:eastAsia="黑体" w:cs="宋体"/>
          <w:sz w:val="28"/>
          <w:szCs w:val="28"/>
        </w:rPr>
      </w:pPr>
      <w:bookmarkStart w:id="5" w:name="_Toc123112264"/>
      <w:bookmarkStart w:id="6" w:name="_Toc139991727"/>
      <w:bookmarkStart w:id="7" w:name="_Toc123112225"/>
      <w:bookmarkStart w:id="8" w:name="_Toc139992302"/>
      <w:bookmarkStart w:id="9" w:name="_Toc123701384"/>
    </w:p>
    <w:bookmarkEnd w:id="5"/>
    <w:bookmarkEnd w:id="6"/>
    <w:bookmarkEnd w:id="7"/>
    <w:bookmarkEnd w:id="8"/>
    <w:bookmarkEnd w:id="9"/>
    <w:p>
      <w:pPr>
        <w:adjustRightInd w:val="0"/>
        <w:spacing w:line="360" w:lineRule="auto"/>
        <w:jc w:val="center"/>
        <w:rPr>
          <w:rStyle w:val="12"/>
          <w:rFonts w:ascii="黑体" w:hAnsi="黑体" w:eastAsia="黑体" w:cs="宋体"/>
          <w:sz w:val="28"/>
          <w:szCs w:val="28"/>
        </w:rPr>
      </w:pPr>
    </w:p>
    <w:p>
      <w:pPr>
        <w:adjustRightInd w:val="0"/>
        <w:spacing w:line="360" w:lineRule="auto"/>
        <w:jc w:val="center"/>
        <w:rPr>
          <w:rStyle w:val="12"/>
          <w:rFonts w:ascii="宋体" w:hAnsi="宋体"/>
          <w:sz w:val="28"/>
          <w:szCs w:val="28"/>
        </w:rPr>
      </w:pPr>
      <w:r>
        <w:rPr>
          <w:rStyle w:val="12"/>
          <w:rFonts w:hint="eastAsia" w:ascii="宋体" w:hAnsi="宋体"/>
          <w:sz w:val="28"/>
          <w:szCs w:val="28"/>
        </w:rPr>
        <w:t>日期</w:t>
      </w:r>
      <w:r>
        <w:rPr>
          <w:rStyle w:val="12"/>
          <w:rFonts w:ascii="宋体" w:hAnsi="宋体"/>
          <w:sz w:val="28"/>
          <w:szCs w:val="28"/>
        </w:rPr>
        <w:t>：</w:t>
      </w:r>
      <w:r>
        <w:rPr>
          <w:rStyle w:val="12"/>
          <w:rFonts w:hint="eastAsia" w:ascii="宋体" w:hAnsi="宋体"/>
          <w:sz w:val="28"/>
          <w:szCs w:val="28"/>
        </w:rPr>
        <w:t>【</w:t>
      </w:r>
      <w:r>
        <w:rPr>
          <w:rStyle w:val="12"/>
          <w:rFonts w:ascii="宋体" w:hAnsi="宋体"/>
          <w:sz w:val="28"/>
          <w:szCs w:val="28"/>
        </w:rPr>
        <w:t>2024</w:t>
      </w:r>
      <w:r>
        <w:rPr>
          <w:rStyle w:val="12"/>
          <w:rFonts w:hint="eastAsia" w:ascii="宋体" w:hAnsi="宋体"/>
          <w:sz w:val="28"/>
          <w:szCs w:val="28"/>
        </w:rPr>
        <w:t>】年【</w:t>
      </w:r>
      <w:r>
        <w:rPr>
          <w:rStyle w:val="12"/>
          <w:rFonts w:hint="eastAsia" w:ascii="宋体" w:hAnsi="宋体"/>
          <w:sz w:val="28"/>
          <w:szCs w:val="28"/>
          <w:lang w:val="en-US" w:eastAsia="zh-CN"/>
        </w:rPr>
        <w:t>10</w:t>
      </w:r>
      <w:r>
        <w:rPr>
          <w:rStyle w:val="12"/>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rPr>
          <w:rFonts w:hint="eastAsia" w:eastAsia="宋体"/>
          <w:bCs/>
          <w:sz w:val="32"/>
          <w:lang w:eastAsia="zh-CN"/>
        </w:rPr>
      </w:pP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8"/>
              <w:snapToGrid w:val="0"/>
              <w:spacing w:before="0" w:beforeAutospacing="0" w:after="0" w:afterAutospacing="0"/>
              <w:jc w:val="both"/>
              <w:rPr>
                <w:rFonts w:ascii="黑体" w:hAnsi="黑体" w:eastAsia="黑体"/>
                <w:bCs/>
                <w:sz w:val="18"/>
                <w:szCs w:val="18"/>
              </w:rPr>
            </w:pPr>
          </w:p>
          <w:p>
            <w:pPr>
              <w:pStyle w:val="8"/>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112266"/>
      <w:bookmarkStart w:id="12" w:name="_Toc123112227"/>
      <w:bookmarkStart w:id="13" w:name="_Toc12370138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9"/>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【兴银理财稳添利周盈20号(7天最短持有期)日开固收类理财产品】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【兴银稳添利周盈20号A（兴普惠）】</w:t>
            </w:r>
            <w:r>
              <w:rPr>
                <w:rFonts w:hint="eastAsia" w:ascii="宋体" w:hAnsi="宋体"/>
                <w:bCs/>
                <w:color w:val="000000" w:themeColor="text1"/>
                <w:sz w:val="18"/>
                <w:szCs w:val="18"/>
                <w14:textFill>
                  <w14:solidFill>
                    <w14:schemeClr w14:val="tx1"/>
                  </w14:solidFill>
                </w14:textFill>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【Z7002024001170】注：投资者可依据理财产品登记编码在中国理财网查询产品信息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9K400200</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【9K40020A】（适用【A】类份额）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6"/>
            <w:spacing w:line="360" w:lineRule="auto"/>
            <w:jc w:val="center"/>
          </w:pPr>
          <w:r>
            <w:rPr>
              <w:lang w:val="zh-CN"/>
            </w:rPr>
            <w:t>目录</w:t>
          </w:r>
        </w:p>
        <w:p>
          <w:pPr>
            <w:pStyle w:val="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8</w:t>
          </w:r>
          <w:r>
            <w:fldChar w:fldCharType="end"/>
          </w:r>
          <w:r>
            <w:fldChar w:fldCharType="end"/>
          </w:r>
        </w:p>
        <w:p>
          <w:pPr>
            <w:pStyle w:val="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9</w:t>
          </w:r>
          <w:r>
            <w:fldChar w:fldCharType="end"/>
          </w:r>
          <w:r>
            <w:fldChar w:fldCharType="end"/>
          </w:r>
        </w:p>
        <w:p>
          <w:pPr>
            <w:pStyle w:val="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12</w:t>
          </w:r>
          <w:r>
            <w:fldChar w:fldCharType="end"/>
          </w:r>
          <w:r>
            <w:fldChar w:fldCharType="end"/>
          </w:r>
        </w:p>
        <w:p>
          <w:pPr>
            <w:pStyle w:val="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13</w:t>
          </w:r>
          <w:r>
            <w:fldChar w:fldCharType="end"/>
          </w:r>
          <w:r>
            <w:fldChar w:fldCharType="end"/>
          </w:r>
        </w:p>
        <w:p>
          <w:pPr>
            <w:pStyle w:val="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14</w:t>
          </w:r>
          <w:r>
            <w:fldChar w:fldCharType="end"/>
          </w:r>
          <w:r>
            <w:fldChar w:fldCharType="end"/>
          </w:r>
        </w:p>
        <w:p>
          <w:pPr>
            <w:pStyle w:val="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15</w:t>
          </w:r>
          <w:r>
            <w:fldChar w:fldCharType="end"/>
          </w:r>
          <w:r>
            <w:fldChar w:fldCharType="end"/>
          </w:r>
        </w:p>
        <w:p>
          <w:pPr>
            <w:pStyle w:val="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16</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8727"/>
      <w:bookmarkStart w:id="15" w:name="_Toc23386"/>
      <w:bookmarkStart w:id="16" w:name="_Toc30935"/>
      <w:bookmarkStart w:id="17" w:name="_Toc29629"/>
      <w:bookmarkStart w:id="18" w:name="_Toc15517"/>
      <w:bookmarkStart w:id="19" w:name="_Toc141703880"/>
      <w:bookmarkStart w:id="20" w:name="_Toc4867"/>
      <w:bookmarkStart w:id="21" w:name="_Toc32639"/>
      <w:bookmarkStart w:id="22" w:name="_Toc139991730"/>
      <w:bookmarkStart w:id="23" w:name="_Toc123701389"/>
      <w:bookmarkStart w:id="24" w:name="_Toc123112268"/>
      <w:bookmarkStart w:id="25" w:name="_Toc6306"/>
      <w:bookmarkStart w:id="26" w:name="_Toc123112229"/>
      <w:bookmarkStart w:id="27" w:name="_Toc26897"/>
      <w:bookmarkStart w:id="28" w:name="_Toc4966"/>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58829399"/>
      <w:bookmarkStart w:id="33" w:name="_Toc2465"/>
      <w:bookmarkStart w:id="34" w:name="_Toc21301"/>
      <w:bookmarkStart w:id="35" w:name="_Toc22864"/>
      <w:bookmarkStart w:id="36" w:name="_Toc3224"/>
      <w:bookmarkStart w:id="37" w:name="_Toc19592"/>
      <w:bookmarkStart w:id="38" w:name="_Toc15067"/>
      <w:bookmarkStart w:id="39" w:name="_Toc819"/>
      <w:bookmarkStart w:id="40" w:name="_Toc24860"/>
      <w:bookmarkStart w:id="41" w:name="_Toc13020"/>
      <w:bookmarkStart w:id="42" w:name="_Toc6617"/>
      <w:r>
        <w:rPr>
          <w:rFonts w:hint="eastAsia" w:ascii="Times New Roman"/>
          <w:color w:val="auto"/>
          <w:sz w:val="30"/>
        </w:rPr>
        <w:t>前言</w:t>
      </w:r>
      <w:bookmarkEnd w:id="29"/>
    </w:p>
    <w:p>
      <w:pPr>
        <w:pStyle w:val="17"/>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4571"/>
      <w:bookmarkStart w:id="48" w:name="_Toc6683"/>
      <w:bookmarkStart w:id="49" w:name="_Toc22708"/>
      <w:bookmarkStart w:id="50" w:name="_Toc545"/>
      <w:bookmarkStart w:id="51" w:name="_Toc74065740"/>
      <w:bookmarkStart w:id="52" w:name="_Toc6149"/>
      <w:bookmarkStart w:id="53" w:name="_Toc18631"/>
      <w:bookmarkStart w:id="54" w:name="_Toc20318"/>
      <w:bookmarkStart w:id="55" w:name="_Toc20627"/>
      <w:bookmarkStart w:id="56" w:name="_Toc13288"/>
      <w:bookmarkStart w:id="57" w:name="_Toc733"/>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rFonts w:hint="eastAsia"/>
          <w:bCs/>
          <w:lang w:eastAsia="zh-CN"/>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ectPr>
          <w:headerReference r:id="rId5" w:type="default"/>
          <w:footerReference r:id="rId6" w:type="default"/>
          <w:pgSz w:w="11906" w:h="16838"/>
          <w:pgMar w:top="1440" w:right="1800" w:bottom="1440" w:left="1800" w:header="567" w:footer="964" w:gutter="0"/>
          <w:pgNumType w:fmt="decimal"/>
          <w:cols w:space="720" w:num="1"/>
          <w:docGrid w:type="lines" w:linePitch="312" w:charSpace="0"/>
        </w:sect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兴银理财【稳添利最短持有期日开固收类】理财产品</w:t>
      </w: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产品说明书</w:t>
      </w:r>
    </w:p>
    <w:p>
      <w:pPr>
        <w:adjustRightInd w:val="0"/>
        <w:spacing w:line="360" w:lineRule="auto"/>
        <w:jc w:val="center"/>
        <w:rPr>
          <w:rStyle w:val="12"/>
          <w:rFonts w:ascii="宋体" w:hAnsi="宋体"/>
          <w:sz w:val="32"/>
          <w:szCs w:val="32"/>
        </w:rPr>
      </w:pPr>
    </w:p>
    <w:p>
      <w:pPr>
        <w:adjustRightInd w:val="0"/>
        <w:spacing w:line="360" w:lineRule="auto"/>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理财产品管理人：兴银理财有限责任公司</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日期</w:t>
      </w:r>
      <w:r>
        <w:rPr>
          <w:rStyle w:val="12"/>
          <w:rFonts w:ascii="宋体" w:hAnsi="宋体" w:cs="Times New Roman"/>
          <w:sz w:val="32"/>
          <w:szCs w:val="32"/>
        </w:rPr>
        <w:t>：</w:t>
      </w:r>
      <w:r>
        <w:rPr>
          <w:rStyle w:val="12"/>
          <w:rFonts w:hint="eastAsia" w:ascii="宋体" w:hAnsi="宋体" w:cs="Times New Roman"/>
          <w:sz w:val="32"/>
          <w:szCs w:val="32"/>
        </w:rPr>
        <w:t>【2</w:t>
      </w:r>
      <w:r>
        <w:rPr>
          <w:rStyle w:val="12"/>
          <w:rFonts w:ascii="宋体" w:hAnsi="宋体" w:cs="Times New Roman"/>
          <w:sz w:val="32"/>
          <w:szCs w:val="32"/>
        </w:rPr>
        <w:t>024</w:t>
      </w:r>
      <w:r>
        <w:rPr>
          <w:rStyle w:val="12"/>
          <w:rFonts w:hint="eastAsia" w:ascii="宋体" w:hAnsi="宋体" w:cs="Times New Roman"/>
          <w:sz w:val="32"/>
          <w:szCs w:val="32"/>
        </w:rPr>
        <w:t>】年【</w:t>
      </w:r>
      <w:r>
        <w:rPr>
          <w:rStyle w:val="12"/>
          <w:rFonts w:hint="eastAsia" w:ascii="宋体" w:hAnsi="宋体" w:cs="Times New Roman"/>
          <w:sz w:val="32"/>
          <w:szCs w:val="32"/>
          <w:lang w:val="en-US" w:eastAsia="zh-CN"/>
        </w:rPr>
        <w:t>10</w:t>
      </w:r>
      <w:r>
        <w:rPr>
          <w:rStyle w:val="12"/>
          <w:rFonts w:hint="eastAsia" w:ascii="宋体" w:hAnsi="宋体" w:cs="Times New Roman"/>
          <w:sz w:val="32"/>
          <w:szCs w:val="32"/>
        </w:rPr>
        <w:t>】月</w:t>
      </w:r>
    </w:p>
    <w:p>
      <w:pPr>
        <w:rPr>
          <w:rStyle w:val="12"/>
          <w:rFonts w:ascii="宋体" w:hAnsi="宋体"/>
          <w:sz w:val="32"/>
          <w:szCs w:val="32"/>
        </w:rPr>
      </w:pPr>
      <w:r>
        <w:rPr>
          <w:rStyle w:val="12"/>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8"/>
            <w:spacing w:line="360" w:lineRule="auto"/>
            <w:jc w:val="center"/>
          </w:pPr>
          <w:bookmarkStart w:id="66" w:name="_Toc78276587"/>
          <w:r>
            <w:rPr>
              <w:lang w:val="zh-CN"/>
            </w:rPr>
            <w:t>目录</w:t>
          </w:r>
        </w:p>
        <w:p>
          <w:pPr>
            <w:pStyle w:val="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20</w:t>
          </w:r>
          <w:r>
            <w:fldChar w:fldCharType="end"/>
          </w:r>
          <w:r>
            <w:fldChar w:fldCharType="end"/>
          </w:r>
        </w:p>
        <w:p>
          <w:pPr>
            <w:pStyle w:val="6"/>
            <w:tabs>
              <w:tab w:val="right" w:leader="dot" w:pos="8306"/>
              <w:tab w:val="clear" w:pos="829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25</w:t>
          </w:r>
          <w:r>
            <w:fldChar w:fldCharType="end"/>
          </w:r>
          <w:r>
            <w:fldChar w:fldCharType="end"/>
          </w:r>
        </w:p>
        <w:p>
          <w:pPr>
            <w:pStyle w:val="6"/>
            <w:tabs>
              <w:tab w:val="right" w:leader="dot" w:pos="8306"/>
              <w:tab w:val="clear" w:pos="829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31</w:t>
          </w:r>
          <w:r>
            <w:fldChar w:fldCharType="end"/>
          </w:r>
          <w:r>
            <w:fldChar w:fldCharType="end"/>
          </w:r>
        </w:p>
        <w:p>
          <w:pPr>
            <w:pStyle w:val="6"/>
            <w:tabs>
              <w:tab w:val="right" w:leader="dot" w:pos="8306"/>
              <w:tab w:val="clear" w:pos="829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33</w:t>
          </w:r>
          <w:r>
            <w:fldChar w:fldCharType="end"/>
          </w:r>
          <w:r>
            <w:fldChar w:fldCharType="end"/>
          </w:r>
        </w:p>
        <w:p>
          <w:pPr>
            <w:pStyle w:val="6"/>
            <w:tabs>
              <w:tab w:val="right" w:leader="dot" w:pos="8306"/>
              <w:tab w:val="clear" w:pos="829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37</w:t>
          </w:r>
          <w:r>
            <w:fldChar w:fldCharType="end"/>
          </w:r>
          <w:r>
            <w:fldChar w:fldCharType="end"/>
          </w:r>
        </w:p>
        <w:p>
          <w:pPr>
            <w:pStyle w:val="6"/>
            <w:tabs>
              <w:tab w:val="right" w:leader="dot" w:pos="8306"/>
              <w:tab w:val="clear" w:pos="829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40</w:t>
          </w:r>
          <w:r>
            <w:fldChar w:fldCharType="end"/>
          </w:r>
          <w:r>
            <w:fldChar w:fldCharType="end"/>
          </w:r>
        </w:p>
        <w:p>
          <w:pPr>
            <w:pStyle w:val="6"/>
            <w:tabs>
              <w:tab w:val="right" w:leader="dot" w:pos="8306"/>
              <w:tab w:val="clear" w:pos="829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41</w:t>
          </w:r>
          <w:r>
            <w:fldChar w:fldCharType="end"/>
          </w:r>
          <w:r>
            <w:fldChar w:fldCharType="end"/>
          </w:r>
        </w:p>
        <w:p>
          <w:pPr>
            <w:pStyle w:val="6"/>
            <w:tabs>
              <w:tab w:val="right" w:leader="dot" w:pos="8306"/>
              <w:tab w:val="clear" w:pos="829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45</w:t>
          </w:r>
          <w:r>
            <w:fldChar w:fldCharType="end"/>
          </w:r>
          <w:r>
            <w:fldChar w:fldCharType="end"/>
          </w:r>
        </w:p>
        <w:p>
          <w:pPr>
            <w:pStyle w:val="6"/>
            <w:tabs>
              <w:tab w:val="right" w:leader="dot" w:pos="8306"/>
              <w:tab w:val="clear" w:pos="829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46</w:t>
          </w:r>
          <w:r>
            <w:fldChar w:fldCharType="end"/>
          </w:r>
          <w:r>
            <w:fldChar w:fldCharType="end"/>
          </w:r>
        </w:p>
        <w:p>
          <w:pPr>
            <w:pStyle w:val="6"/>
            <w:tabs>
              <w:tab w:val="right" w:leader="dot" w:pos="8306"/>
              <w:tab w:val="clear" w:pos="829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49</w:t>
          </w:r>
          <w:r>
            <w:fldChar w:fldCharType="end"/>
          </w:r>
          <w:r>
            <w:fldChar w:fldCharType="end"/>
          </w:r>
        </w:p>
        <w:p>
          <w:pPr>
            <w:pStyle w:val="6"/>
            <w:tabs>
              <w:tab w:val="right" w:leader="dot" w:pos="8306"/>
              <w:tab w:val="clear" w:pos="829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51</w:t>
          </w:r>
          <w:r>
            <w:fldChar w:fldCharType="end"/>
          </w:r>
          <w:r>
            <w:fldChar w:fldCharType="end"/>
          </w:r>
        </w:p>
        <w:p>
          <w:pPr>
            <w:pStyle w:val="6"/>
            <w:tabs>
              <w:tab w:val="right" w:leader="dot" w:pos="8306"/>
              <w:tab w:val="clear" w:pos="829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53</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67" w:name="_Toc92377130"/>
      <w:bookmarkStart w:id="68" w:name="_Toc26572"/>
      <w:r>
        <w:rPr>
          <w:rFonts w:ascii="Times New Roman"/>
          <w:sz w:val="30"/>
        </w:rPr>
        <w:t>第</w:t>
      </w:r>
      <w:r>
        <w:rPr>
          <w:rFonts w:hint="eastAsia" w:ascii="Times New Roman"/>
          <w:sz w:val="30"/>
        </w:rPr>
        <w:t xml:space="preserve">一条 </w:t>
      </w:r>
      <w:r>
        <w:rPr>
          <w:rFonts w:ascii="Times New Roman"/>
          <w:sz w:val="30"/>
        </w:rPr>
        <w:t xml:space="preserve"> 释义</w:t>
      </w:r>
      <w:bookmarkEnd w:id="66"/>
      <w:bookmarkEnd w:id="67"/>
      <w:bookmarkEnd w:id="68"/>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7"/>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：指产品管理人向投资者提供的，用于描述产品特征，约定权利义务的文件。具体指《兴银理财【稳添利最短持有期日开固收类】理财产品销售文件》，包括《投资协议书》、《产品说明书》、《（代理）销售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《投资协议书》：指管理人统一编制的《兴银理财【稳添利最短持有期日开固收类】理财产品投资协议书》，以及对该文件的有效修改或补充。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）《产品说明书》：指管理人统一编制的《兴银理财【稳添利最短持有期日开固收类】理财产品产品说明书》，以及对该文件的有效修改或补充。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（4）《（代理）销售协议书》：指管理人统一编制的《兴银理财【稳添利最短持有期日开固收类】理财产品（代理）销售协议书》或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的《兴银理财【稳添利最短持有期日开固收类】理财产品（代理）销售协议书》（文件名称以代理销售机构实际编制为准），以及对该文件的有效修改或补充。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）《风险揭示书》：指管理人统一编制的《兴银理财【稳添利最短持有期日开固收类】理财产品风险揭示书》或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的《兴银理财【稳添利最短持有期日开固收类】理财产品风险揭示书》（文件名称以代理销售机构实际编制为准），以及对该文件的有效修改或补充。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）《投资者权益须知》：指管理人统一编制的《兴银理财【稳添利最短持有期日开固收类】理财产品投资者权益须知》或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《兴银理财【稳添利最短持有期日开固收类】理财产品投资者权益须知》（文件名称以代理销售机构实际编制为准），以及对该文件的有效修改或补充。</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17"/>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7"/>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7"/>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7"/>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7"/>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7"/>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7"/>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7"/>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69" w:name="_Toc79154665"/>
      <w:bookmarkStart w:id="70" w:name="_Toc92377131"/>
      <w:bookmarkStart w:id="71" w:name="_Toc14559"/>
      <w:r>
        <w:rPr>
          <w:rFonts w:hint="eastAsia" w:hAnsi="宋体"/>
          <w:sz w:val="28"/>
          <w:szCs w:val="28"/>
        </w:rPr>
        <w:t>第二条  理财产品基本情况</w:t>
      </w:r>
      <w:bookmarkEnd w:id="69"/>
      <w:bookmarkEnd w:id="70"/>
      <w:r>
        <w:rPr>
          <w:rFonts w:hint="eastAsia" w:hAnsi="宋体"/>
          <w:sz w:val="28"/>
          <w:szCs w:val="28"/>
        </w:rPr>
        <w:t xml:space="preserve"> </w:t>
      </w:r>
      <w:bookmarkEnd w:id="71"/>
    </w:p>
    <w:tbl>
      <w:tblPr>
        <w:tblStyle w:val="9"/>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【兴银理财稳添利周盈20号(7天最短持有期)日开固收类理财产品】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宋体" w:hAnsi="宋体"/>
                <w:sz w:val="18"/>
                <w:szCs w:val="18"/>
              </w:rPr>
              <w:t>兴银稳添利周盈20号A（兴普惠）</w:t>
            </w:r>
            <w:r>
              <w:rPr>
                <w:rFonts w:hint="eastAsia" w:asciiTheme="majorEastAsia" w:hAnsiTheme="majorEastAsia" w:eastAsiaTheme="majorEastAsia"/>
                <w:bCs/>
                <w:kern w:val="0"/>
                <w:sz w:val="18"/>
                <w:szCs w:val="18"/>
              </w:rPr>
              <w:t>】</w:t>
            </w:r>
            <w:r>
              <w:rPr>
                <w:rFonts w:hint="eastAsia" w:hAnsi="宋体"/>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【Z7002024001170】</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9K400200】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ascii="宋体" w:hAnsi="宋体"/>
                <w:bCs/>
                <w:sz w:val="18"/>
                <w:szCs w:val="18"/>
              </w:rPr>
              <w:t>9K40020A</w:t>
            </w:r>
            <w:r>
              <w:rPr>
                <w:rFonts w:hint="eastAsia" w:hAnsi="宋体"/>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24</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30</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31</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（适用【A】类份额）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17"/>
              <w:spacing w:line="360" w:lineRule="auto"/>
              <w:rPr>
                <w:rFonts w:asciiTheme="minorEastAsia" w:hAnsiTheme="minorEastAsia" w:eastAsiaTheme="minorEastAsia"/>
                <w:color w:val="auto"/>
                <w:sz w:val="18"/>
                <w:szCs w:val="18"/>
              </w:rPr>
            </w:pPr>
            <w:r>
              <w:rPr>
                <w:rFonts w:hint="eastAsia" w:hAnsi="宋体"/>
                <w:bCs/>
                <w:sz w:val="18"/>
                <w:szCs w:val="18"/>
              </w:rPr>
              <w:t>（适用【A】类份额）</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7"/>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17"/>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17"/>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17"/>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（适用【A】类份额）</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w:t>
            </w:r>
            <w:r>
              <w:rPr>
                <w:rFonts w:hint="eastAsia" w:ascii="宋体" w:hAnsi="宋体"/>
                <w:bCs/>
                <w:sz w:val="18"/>
                <w:szCs w:val="18"/>
                <w:lang w:val="en-US" w:eastAsia="zh-CN"/>
              </w:rPr>
              <w:t>1.80</w:t>
            </w:r>
            <w:r>
              <w:rPr>
                <w:rFonts w:hint="eastAsia" w:ascii="宋体" w:hAnsi="宋体"/>
                <w:bCs/>
                <w:sz w:val="18"/>
                <w:szCs w:val="18"/>
              </w:rPr>
              <w:t>%</w:t>
            </w:r>
            <w:r>
              <w:rPr>
                <w:rFonts w:ascii="宋体" w:hAnsi="宋体"/>
                <w:bCs/>
                <w:sz w:val="18"/>
                <w:szCs w:val="18"/>
              </w:rPr>
              <w:t>-</w:t>
            </w:r>
            <w:r>
              <w:rPr>
                <w:rFonts w:hint="eastAsia" w:ascii="宋体" w:hAnsi="宋体"/>
                <w:bCs/>
                <w:sz w:val="18"/>
                <w:szCs w:val="18"/>
                <w:lang w:val="en-US" w:eastAsia="zh-CN"/>
              </w:rPr>
              <w:t>3.60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（适用【A】类份额）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（适用【A】类份额）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4</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.03】</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7"/>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2" w:name="_Toc79154666"/>
      <w:bookmarkStart w:id="73" w:name="_Toc92377132"/>
      <w:bookmarkStart w:id="74" w:name="_Toc4403"/>
      <w:r>
        <w:rPr>
          <w:rFonts w:ascii="Times New Roman"/>
          <w:sz w:val="30"/>
        </w:rPr>
        <w:t>第</w:t>
      </w:r>
      <w:r>
        <w:rPr>
          <w:rFonts w:hint="eastAsia" w:ascii="Times New Roman"/>
          <w:sz w:val="30"/>
        </w:rPr>
        <w:t>三条</w:t>
      </w:r>
      <w:r>
        <w:rPr>
          <w:rFonts w:ascii="Times New Roman"/>
          <w:sz w:val="30"/>
        </w:rPr>
        <w:t xml:space="preserve">  </w:t>
      </w:r>
      <w:bookmarkStart w:id="75" w:name="_Toc79392573"/>
      <w:r>
        <w:rPr>
          <w:rFonts w:hint="eastAsia" w:ascii="Times New Roman"/>
          <w:sz w:val="30"/>
        </w:rPr>
        <w:t>理财产品的认购</w:t>
      </w:r>
      <w:bookmarkEnd w:id="72"/>
      <w:bookmarkEnd w:id="73"/>
      <w:bookmarkEnd w:id="74"/>
    </w:p>
    <w:p>
      <w:pPr>
        <w:spacing w:line="360" w:lineRule="auto"/>
        <w:ind w:firstLine="361" w:firstLineChars="200"/>
        <w:rPr>
          <w:rFonts w:asciiTheme="minorEastAsia" w:hAnsiTheme="minorEastAsia"/>
          <w:b/>
          <w:bCs/>
          <w:sz w:val="18"/>
          <w:szCs w:val="18"/>
        </w:rPr>
      </w:pPr>
      <w:bookmarkStart w:id="76" w:name="_Hlt88031774"/>
      <w:bookmarkEnd w:id="76"/>
      <w:bookmarkStart w:id="7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10"/>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78" w:name="_Toc79154667"/>
      <w:bookmarkStart w:id="79" w:name="_Toc92377133"/>
      <w:bookmarkStart w:id="80" w:name="_Toc6529"/>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78"/>
      <w:bookmarkEnd w:id="79"/>
      <w:bookmarkEnd w:id="80"/>
    </w:p>
    <w:bookmarkEnd w:id="77"/>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75"/>
    <w:p>
      <w:pPr>
        <w:pStyle w:val="2"/>
        <w:spacing w:before="0" w:after="0" w:line="360" w:lineRule="auto"/>
        <w:jc w:val="center"/>
        <w:rPr>
          <w:rFonts w:ascii="Times New Roman"/>
          <w:sz w:val="30"/>
        </w:rPr>
      </w:pPr>
      <w:bookmarkStart w:id="81" w:name="_Toc90742321"/>
      <w:bookmarkStart w:id="82" w:name="_Toc15203"/>
      <w:bookmarkStart w:id="83" w:name="_Toc27226"/>
      <w:bookmarkStart w:id="84" w:name="_Toc27189"/>
      <w:bookmarkStart w:id="85" w:name="_Toc3266"/>
      <w:bookmarkStart w:id="86" w:name="_Toc74065741"/>
      <w:bookmarkStart w:id="87" w:name="_Toc22074"/>
      <w:bookmarkStart w:id="88" w:name="_Toc90742390"/>
      <w:bookmarkStart w:id="89" w:name="_Toc92377134"/>
      <w:bookmarkStart w:id="90" w:name="_Toc16265"/>
      <w:bookmarkStart w:id="91" w:name="_Toc7151"/>
      <w:bookmarkStart w:id="92" w:name="_Toc6714"/>
      <w:bookmarkStart w:id="93" w:name="_Toc29948"/>
      <w:bookmarkStart w:id="94" w:name="_Toc29784"/>
      <w:bookmarkStart w:id="95" w:name="_Toc12517"/>
      <w:bookmarkStart w:id="96" w:name="_Toc90742688"/>
      <w:bookmarkStart w:id="97" w:name="_Toc79154668"/>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
      <w:pPr>
        <w:pStyle w:val="17"/>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本产品投资于债权类资产的比例不低于产品总资产的80%。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7"/>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7"/>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7"/>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98" w:name="_Toc26986"/>
      <w:bookmarkStart w:id="99" w:name="_Toc139991735"/>
      <w:bookmarkStart w:id="100" w:name="_Toc17912"/>
      <w:bookmarkStart w:id="101" w:name="_Toc92377135"/>
      <w:bookmarkStart w:id="102" w:name="_Toc74065742"/>
      <w:bookmarkStart w:id="103" w:name="_Toc1823"/>
      <w:bookmarkStart w:id="104" w:name="_Toc79154669"/>
      <w:bookmarkStart w:id="105" w:name="_Toc7848"/>
      <w:bookmarkStart w:id="106" w:name="_Toc14893"/>
      <w:bookmarkStart w:id="107" w:name="_Toc21988"/>
      <w:bookmarkStart w:id="108" w:name="_Toc18329"/>
      <w:bookmarkStart w:id="109" w:name="_Toc141703885"/>
      <w:bookmarkStart w:id="110" w:name="_Toc4741"/>
      <w:bookmarkStart w:id="111" w:name="_Toc27967"/>
      <w:bookmarkStart w:id="112" w:name="_Toc18526"/>
      <w:bookmarkStart w:id="113" w:name="_Toc18797"/>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pPr>
        <w:pStyle w:val="17"/>
        <w:spacing w:line="360" w:lineRule="auto"/>
        <w:ind w:firstLine="361" w:firstLineChars="200"/>
        <w:rPr>
          <w:rFonts w:asciiTheme="majorEastAsia" w:hAnsiTheme="majorEastAsia" w:eastAsiaTheme="majorEastAsia"/>
          <w:b/>
          <w:color w:val="auto"/>
          <w:sz w:val="18"/>
          <w:szCs w:val="18"/>
        </w:rPr>
      </w:pPr>
      <w:bookmarkStart w:id="114" w:name="_Hlk490214295"/>
      <w:r>
        <w:rPr>
          <w:rFonts w:hint="eastAsia" w:asciiTheme="majorEastAsia" w:hAnsiTheme="majorEastAsia" w:eastAsiaTheme="majorEastAsia"/>
          <w:b/>
          <w:color w:val="auto"/>
          <w:sz w:val="18"/>
          <w:szCs w:val="18"/>
        </w:rPr>
        <w:t>（一）理财产品的资产的保管和处分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14"/>
    <w:p>
      <w:pPr>
        <w:pStyle w:val="2"/>
        <w:spacing w:before="0" w:after="0" w:line="360" w:lineRule="auto"/>
        <w:jc w:val="center"/>
        <w:rPr>
          <w:rFonts w:ascii="Times New Roman"/>
          <w:sz w:val="28"/>
          <w:szCs w:val="28"/>
        </w:rPr>
      </w:pPr>
      <w:bookmarkStart w:id="115" w:name="_Toc92377136"/>
      <w:bookmarkStart w:id="116" w:name="_Toc13903"/>
      <w:bookmarkStart w:id="117" w:name="_Toc83391971"/>
      <w:bookmarkStart w:id="118" w:name="_Toc123051452"/>
      <w:bookmarkStart w:id="119" w:name="_Toc20733"/>
      <w:bookmarkStart w:id="120" w:name="_Toc17244"/>
      <w:bookmarkStart w:id="121" w:name="_Toc1427"/>
      <w:bookmarkStart w:id="122" w:name="_Toc79154670"/>
      <w:bookmarkStart w:id="123" w:name="_Toc23261"/>
      <w:bookmarkStart w:id="124" w:name="_Toc610"/>
      <w:bookmarkStart w:id="125" w:name="_Toc74065743"/>
      <w:bookmarkStart w:id="126" w:name="_Toc79392606"/>
      <w:bookmarkStart w:id="127" w:name="_Toc139991736"/>
      <w:bookmarkStart w:id="128" w:name="_Toc1270"/>
      <w:bookmarkStart w:id="129" w:name="_Toc7920"/>
      <w:bookmarkStart w:id="130" w:name="_Toc10463"/>
      <w:bookmarkStart w:id="131" w:name="_Toc98560352"/>
      <w:bookmarkStart w:id="132" w:name="_Toc48649707"/>
      <w:bookmarkStart w:id="133" w:name="_Toc141703886"/>
      <w:bookmarkStart w:id="134" w:name="_Toc23822"/>
      <w:bookmarkStart w:id="135" w:name="_Toc4003"/>
      <w:bookmarkStart w:id="136" w:name="_Toc123112234"/>
      <w:bookmarkStart w:id="137" w:name="_Toc123102453"/>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15"/>
      <w:bookmarkEnd w:id="116"/>
      <w:bookmarkEnd w:id="117"/>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7"/>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17"/>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17"/>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17"/>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17"/>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17"/>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7"/>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Pr>
        <w:pStyle w:val="2"/>
        <w:spacing w:before="0" w:after="0" w:line="360" w:lineRule="auto"/>
        <w:ind w:left="60" w:firstLine="10"/>
        <w:jc w:val="center"/>
        <w:rPr>
          <w:rFonts w:ascii="Times New Roman"/>
          <w:sz w:val="30"/>
        </w:rPr>
      </w:pPr>
      <w:bookmarkStart w:id="138" w:name="_Hlt70481650"/>
      <w:bookmarkEnd w:id="138"/>
      <w:bookmarkStart w:id="139" w:name="_Toc123051453"/>
      <w:bookmarkStart w:id="140" w:name="_Toc12245"/>
      <w:bookmarkStart w:id="141" w:name="_Toc15143"/>
      <w:bookmarkStart w:id="142" w:name="_Toc14835"/>
      <w:bookmarkStart w:id="143" w:name="_Toc92377137"/>
      <w:bookmarkStart w:id="144" w:name="_Toc31235"/>
      <w:bookmarkStart w:id="145" w:name="_Toc31644"/>
      <w:bookmarkStart w:id="146" w:name="_Toc31653"/>
      <w:bookmarkStart w:id="147" w:name="_Toc79154671"/>
      <w:bookmarkStart w:id="148" w:name="_Toc4020"/>
      <w:bookmarkStart w:id="149" w:name="_Toc123112235"/>
      <w:bookmarkStart w:id="150" w:name="_Toc98560353"/>
      <w:bookmarkStart w:id="151" w:name="_Toc26207"/>
      <w:bookmarkStart w:id="152" w:name="_Toc6405"/>
      <w:bookmarkStart w:id="153" w:name="_Toc3601"/>
      <w:bookmarkStart w:id="154" w:name="_Toc123102454"/>
      <w:bookmarkStart w:id="155" w:name="_Toc74065744"/>
      <w:bookmarkStart w:id="156" w:name="_Toc141703887"/>
      <w:bookmarkStart w:id="157" w:name="_Toc29251"/>
      <w:bookmarkStart w:id="158" w:name="_Toc139991737"/>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Start w:id="159" w:name="_Hlt55355235"/>
      <w:bookmarkEnd w:id="159"/>
      <w:bookmarkStart w:id="160" w:name="_Toc57530239"/>
      <w:bookmarkStart w:id="161" w:name="_Toc15118234"/>
      <w:bookmarkStart w:id="162" w:name="_Toc79392580"/>
      <w:bookmarkStart w:id="163" w:name="_Toc523711668"/>
    </w:p>
    <w:p>
      <w:pPr>
        <w:pStyle w:val="17"/>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7"/>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17"/>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7"/>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17"/>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17"/>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7"/>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17"/>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7"/>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7"/>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17"/>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17"/>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17"/>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
      <w:pPr>
        <w:widowControl/>
        <w:spacing w:line="360" w:lineRule="auto"/>
        <w:jc w:val="left"/>
        <w:rPr>
          <w:rFonts w:ascii="宋体" w:hAnsi="宋体"/>
          <w:kern w:val="0"/>
          <w:sz w:val="18"/>
          <w:szCs w:val="18"/>
        </w:rPr>
      </w:pPr>
      <w:r>
        <w:rPr>
          <w:rFonts w:hAnsi="宋体"/>
          <w:sz w:val="18"/>
          <w:szCs w:val="18"/>
        </w:rPr>
        <w:br w:type="page"/>
      </w:r>
    </w:p>
    <w:bookmarkEnd w:id="160"/>
    <w:bookmarkEnd w:id="161"/>
    <w:bookmarkEnd w:id="162"/>
    <w:bookmarkEnd w:id="163"/>
    <w:p>
      <w:pPr>
        <w:pStyle w:val="2"/>
        <w:spacing w:before="0" w:after="0" w:line="360" w:lineRule="auto"/>
        <w:jc w:val="center"/>
        <w:rPr>
          <w:rFonts w:ascii="Times New Roman"/>
          <w:sz w:val="30"/>
        </w:rPr>
      </w:pPr>
      <w:bookmarkStart w:id="164" w:name="_Hlt88825574"/>
      <w:bookmarkEnd w:id="164"/>
      <w:bookmarkStart w:id="165" w:name="_Hlt88897298"/>
      <w:bookmarkEnd w:id="165"/>
      <w:bookmarkStart w:id="166" w:name="_Toc11030"/>
      <w:bookmarkStart w:id="167" w:name="_Toc3771"/>
      <w:bookmarkStart w:id="168" w:name="_Toc74065745"/>
      <w:bookmarkStart w:id="169" w:name="_Toc123112236"/>
      <w:bookmarkStart w:id="170" w:name="_Toc92377138"/>
      <w:bookmarkStart w:id="171" w:name="_Toc79154672"/>
      <w:bookmarkStart w:id="172" w:name="_Toc98560354"/>
      <w:bookmarkStart w:id="173" w:name="_Toc18567"/>
      <w:bookmarkStart w:id="174" w:name="_Toc139991738"/>
      <w:bookmarkStart w:id="175" w:name="_Toc25783"/>
      <w:bookmarkStart w:id="176" w:name="_Toc123051454"/>
      <w:bookmarkStart w:id="177" w:name="_Toc7058"/>
      <w:bookmarkStart w:id="178" w:name="_Toc3321"/>
      <w:bookmarkStart w:id="179" w:name="_Toc79392583"/>
      <w:bookmarkStart w:id="180" w:name="_Toc141703888"/>
      <w:bookmarkStart w:id="181" w:name="_Toc9706"/>
      <w:bookmarkStart w:id="182" w:name="_Toc6447"/>
      <w:bookmarkStart w:id="183" w:name="_Toc10650"/>
      <w:bookmarkStart w:id="184" w:name="_Toc4559"/>
      <w:bookmarkStart w:id="185" w:name="_Toc6394"/>
      <w:bookmarkStart w:id="186" w:name="_Toc123102455"/>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14"/>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17"/>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7"/>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7"/>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7"/>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87" w:name="_Toc3963"/>
      <w:bookmarkStart w:id="188" w:name="_Toc1745"/>
      <w:r>
        <w:br w:type="page"/>
      </w:r>
      <w:bookmarkStart w:id="189" w:name="_Toc725"/>
      <w:bookmarkStart w:id="190" w:name="_Toc25397"/>
      <w:bookmarkStart w:id="191" w:name="_Toc141703889"/>
      <w:bookmarkStart w:id="192" w:name="_Toc18206"/>
      <w:bookmarkStart w:id="193" w:name="_Toc79154673"/>
      <w:bookmarkStart w:id="194" w:name="_Toc10398"/>
      <w:bookmarkStart w:id="195" w:name="_Toc139991739"/>
      <w:bookmarkStart w:id="196" w:name="_Toc31821"/>
      <w:bookmarkStart w:id="197" w:name="_Toc16164"/>
      <w:bookmarkStart w:id="198" w:name="_Toc98560355"/>
      <w:bookmarkStart w:id="199" w:name="_Toc123102456"/>
      <w:bookmarkStart w:id="200" w:name="_Toc21735"/>
      <w:bookmarkStart w:id="201" w:name="_Toc3572"/>
      <w:bookmarkStart w:id="202" w:name="_Toc123051455"/>
      <w:bookmarkStart w:id="203" w:name="_Toc74065746"/>
      <w:bookmarkStart w:id="204" w:name="_Toc92377139"/>
      <w:bookmarkStart w:id="205" w:name="_Toc123112237"/>
      <w:bookmarkStart w:id="206" w:name="_Toc3080"/>
      <w:r>
        <w:rPr>
          <w:rFonts w:hint="eastAsia"/>
          <w:sz w:val="30"/>
        </w:rPr>
        <w:t>第十条</w:t>
      </w:r>
      <w:r>
        <w:rPr>
          <w:sz w:val="30"/>
        </w:rPr>
        <w:t xml:space="preserve">  </w:t>
      </w:r>
      <w:r>
        <w:rPr>
          <w:rFonts w:hint="eastAsia"/>
          <w:sz w:val="30"/>
        </w:rPr>
        <w:t>理财产品的终止与清算</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pPr>
        <w:spacing w:line="360" w:lineRule="auto"/>
        <w:ind w:firstLine="361" w:firstLineChars="200"/>
        <w:rPr>
          <w:rFonts w:asciiTheme="majorEastAsia" w:hAnsiTheme="majorEastAsia" w:eastAsiaTheme="majorEastAsia"/>
          <w:b/>
          <w:bCs/>
          <w:sz w:val="18"/>
          <w:szCs w:val="18"/>
        </w:rPr>
      </w:pPr>
      <w:bookmarkStart w:id="207" w:name="_Toc79392593"/>
      <w:bookmarkStart w:id="208" w:name="_Toc57530252"/>
      <w:bookmarkStart w:id="209"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207"/>
    <w:bookmarkEnd w:id="208"/>
    <w:bookmarkEnd w:id="209"/>
    <w:p>
      <w:pPr>
        <w:pStyle w:val="2"/>
        <w:spacing w:before="0" w:after="0" w:line="360" w:lineRule="auto"/>
        <w:jc w:val="center"/>
        <w:rPr>
          <w:rFonts w:ascii="Times New Roman"/>
          <w:sz w:val="18"/>
          <w:szCs w:val="18"/>
        </w:rPr>
      </w:pPr>
      <w:r>
        <w:rPr>
          <w:rFonts w:ascii="Times New Roman"/>
          <w:b w:val="0"/>
          <w:bCs w:val="0"/>
          <w:kern w:val="2"/>
        </w:rPr>
        <w:br w:type="page"/>
      </w:r>
      <w:bookmarkStart w:id="210" w:name="_Toc7953"/>
      <w:bookmarkStart w:id="211" w:name="_Toc92377140"/>
      <w:bookmarkStart w:id="212" w:name="_Toc139991740"/>
      <w:bookmarkStart w:id="213" w:name="_Toc739"/>
      <w:bookmarkStart w:id="214" w:name="_Toc98560356"/>
      <w:bookmarkStart w:id="215" w:name="_Toc123102457"/>
      <w:bookmarkStart w:id="216" w:name="_Toc21237"/>
      <w:bookmarkStart w:id="217" w:name="_Toc17198"/>
      <w:bookmarkStart w:id="218" w:name="_Toc5170"/>
      <w:bookmarkStart w:id="219" w:name="_Toc3329"/>
      <w:bookmarkStart w:id="220" w:name="_Toc123112238"/>
      <w:bookmarkStart w:id="221" w:name="_Toc83391975"/>
      <w:bookmarkStart w:id="222" w:name="_Toc32092"/>
      <w:bookmarkStart w:id="223" w:name="_Toc79154674"/>
      <w:bookmarkStart w:id="224" w:name="_Toc29408"/>
      <w:bookmarkStart w:id="225" w:name="_Toc8791"/>
      <w:bookmarkStart w:id="226" w:name="_Toc123051456"/>
      <w:bookmarkStart w:id="227" w:name="_Toc17920"/>
      <w:bookmarkStart w:id="228" w:name="_Toc32584"/>
      <w:bookmarkStart w:id="229" w:name="_Toc48649708"/>
      <w:bookmarkStart w:id="230" w:name="_Toc79392622"/>
      <w:bookmarkStart w:id="231" w:name="_Toc141703890"/>
      <w:bookmarkStart w:id="232" w:name="_Toc74065747"/>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0"/>
      <w:bookmarkEnd w:id="211"/>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233" w:name="_Toc30149"/>
      <w:bookmarkStart w:id="234" w:name="_Toc79154675"/>
      <w:bookmarkStart w:id="235"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33"/>
      <w:bookmarkEnd w:id="234"/>
      <w:bookmarkEnd w:id="23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
      <w:pPr>
        <w:pStyle w:val="15"/>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17"/>
        <w:spacing w:line="360" w:lineRule="auto"/>
        <w:rPr>
          <w:rFonts w:hAnsi="宋体"/>
          <w:sz w:val="18"/>
          <w:szCs w:val="18"/>
        </w:rPr>
      </w:pPr>
    </w:p>
    <w:p/>
    <w:p>
      <w:pPr>
        <w:sectPr>
          <w:headerReference r:id="rId7" w:type="default"/>
          <w:footerReference r:id="rId8" w:type="default"/>
          <w:pgSz w:w="11906" w:h="16838"/>
          <w:pgMar w:top="1276" w:right="1800" w:bottom="1418" w:left="1800" w:header="567" w:footer="964" w:gutter="0"/>
          <w:pgNumType w:fmt="decimal"/>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兴银理财【稳添利最短持有期日开固收类】理财产品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9"/>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hint="eastAsia" w:ascii="宋体" w:hAnsi="宋体" w:eastAsia="宋体"/>
                <w:bCs/>
                <w:sz w:val="18"/>
                <w:szCs w:val="18"/>
                <w:lang w:eastAsia="zh-CN"/>
              </w:rPr>
            </w:pPr>
            <w:r>
              <w:rPr>
                <w:rFonts w:hint="eastAsia" w:ascii="宋体" w:hAnsi="宋体"/>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7"/>
              <w:jc w:val="both"/>
              <w:rPr>
                <w:rFonts w:hint="eastAsia" w:eastAsia="宋体"/>
                <w:lang w:eastAsia="zh-CN"/>
              </w:rPr>
            </w:pPr>
            <w:r>
              <w:rPr>
                <w:rFonts w:hint="eastAsia" w:asciiTheme="majorEastAsia" w:hAnsiTheme="majorEastAsia" w:eastAsiaTheme="majorEastAsia"/>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7"/>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参照本条第（1）款非机构投资者要求执行；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其他：</w:t>
      </w:r>
      <w:r>
        <w:rPr>
          <w:rFonts w:hint="eastAsia" w:asciiTheme="majorEastAsia" w:hAnsiTheme="majorEastAsia" w:eastAsiaTheme="majorEastAsia"/>
          <w:sz w:val="18"/>
          <w:szCs w:val="18"/>
          <w:u w:val="single"/>
        </w:rPr>
        <w:t xml:space="preserve">                               。</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p/>
    <w:p>
      <w:pPr>
        <w:sectPr>
          <w:headerReference r:id="rId9" w:type="default"/>
          <w:footerReference r:id="rId10"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兴银理财【稳添利最短持有期日开固收类】</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sz w:val="18"/>
          <w:szCs w:val="18"/>
        </w:rPr>
        <w:t>兴银理财稳添利周盈20号(7天最短持有期)日开固收类理财产品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hint="eastAsia" w:ascii="宋体" w:hAnsi="宋体"/>
          <w:sz w:val="18"/>
          <w:szCs w:val="18"/>
        </w:rPr>
        <w:t>兴银稳添利周盈20号A（兴普惠）</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（适用【A】类份额）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Theme="minorEastAsia" w:hAnsiTheme="minorEastAsia"/>
          <w:sz w:val="18"/>
          <w:szCs w:val="18"/>
        </w:rPr>
        <w:t>Z7002024001170</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【无固定期限】</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本理财产品风险评级最终定义为【R2</w:t>
      </w:r>
      <w:r>
        <w:rPr>
          <w:rFonts w:ascii="宋体" w:hAnsi="宋体" w:cs="仿宋_GB2312"/>
          <w:kern w:val="0"/>
          <w:sz w:val="18"/>
          <w:szCs w:val="18"/>
        </w:rPr>
        <w:t>】</w:t>
      </w:r>
      <w:r>
        <w:rPr>
          <w:rFonts w:hint="eastAsia" w:ascii="宋体" w:hAnsi="宋体" w:cs="仿宋_GB2312"/>
          <w:kern w:val="0"/>
          <w:sz w:val="18"/>
          <w:szCs w:val="18"/>
        </w:rPr>
        <w:t>（产品管理人定义的产品风险评级为【R2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；代理销售机构定义的产品风险评级为【R2】）。</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bookmarkStart w:id="236" w:name="_GoBack"/>
      <w:bookmarkEnd w:id="236"/>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C2、■ C3、■ C4、■ C5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ascii="宋体" w:hAnsi="宋体"/>
          <w:sz w:val="18"/>
          <w:szCs w:val="18"/>
        </w:rPr>
        <w:t xml:space="preserve"> </w:t>
      </w:r>
    </w:p>
    <w:p>
      <w:pPr>
        <w:pStyle w:val="15"/>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5"/>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5"/>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5"/>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5"/>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5"/>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5"/>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5"/>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5"/>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5"/>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5"/>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5"/>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5"/>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5"/>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5"/>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5"/>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5"/>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5"/>
        <w:ind w:firstLineChars="0"/>
        <w:rPr>
          <w:rFonts w:ascii="宋体" w:hAnsi="宋体"/>
          <w:b/>
          <w:bCs/>
          <w:sz w:val="18"/>
          <w:szCs w:val="18"/>
        </w:rPr>
      </w:pPr>
      <w:r>
        <w:rPr>
          <w:rFonts w:hint="eastAsia" w:ascii="宋体" w:hAnsi="宋体"/>
          <w:b/>
          <w:bCs/>
          <w:sz w:val="18"/>
          <w:szCs w:val="18"/>
        </w:rPr>
        <w:t>17.关联交易风险</w:t>
      </w:r>
    </w:p>
    <w:p>
      <w:pPr>
        <w:pStyle w:val="15"/>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jc w:val="right"/>
        <w:rPr>
          <w:rFonts w:hint="eastAsia" w:ascii="宋体" w:hAnsi="宋体" w:eastAsia="宋体"/>
          <w:sz w:val="18"/>
          <w:szCs w:val="18"/>
          <w:lang w:eastAsia="zh-CN"/>
        </w:rPr>
      </w:pPr>
      <w:r>
        <w:rPr>
          <w:rFonts w:hint="eastAsia" w:ascii="宋体" w:hAnsi="宋体"/>
          <w:sz w:val="18"/>
          <w:szCs w:val="18"/>
          <w:lang w:eastAsia="zh-CN"/>
        </w:rPr>
        <w:t xml:space="preserve">销售机构（【】） </w:t>
      </w:r>
      <w:r>
        <w:rPr>
          <w:rFonts w:ascii="宋体" w:hAnsi="宋体"/>
          <w:sz w:val="18"/>
          <w:szCs w:val="18"/>
        </w:rPr>
        <w:br w:type="page"/>
      </w:r>
    </w:p>
    <w:p>
      <w:pPr>
        <w:widowControl/>
        <w:jc w:val="right"/>
        <w:rPr>
          <w:rFonts w:ascii="宋体" w:hAnsi="宋体"/>
          <w:sz w:val="18"/>
          <w:szCs w:val="18"/>
        </w:rPr>
      </w:pPr>
    </w:p>
    <w:p>
      <w:pPr>
        <w:ind w:left="540"/>
        <w:jc w:val="right"/>
        <w:rPr>
          <w:rFonts w:ascii="宋体" w:hAnsi="宋体"/>
          <w:sz w:val="18"/>
          <w:szCs w:val="18"/>
        </w:rPr>
      </w:pPr>
    </w:p>
    <w:p>
      <w:pPr>
        <w:ind w:left="540"/>
        <w:jc w:val="right"/>
        <w:rPr>
          <w:rFonts w:ascii="宋体" w:hAnsi="宋体"/>
          <w:sz w:val="18"/>
          <w:szCs w:val="18"/>
        </w:rPr>
      </w:pPr>
    </w:p>
    <w:tbl>
      <w:tblPr>
        <w:tblStyle w:val="10"/>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10"/>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10"/>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
      <w:pPr>
        <w:sectPr>
          <w:headerReference r:id="rId11" w:type="default"/>
          <w:footerReference r:id="rId12"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投资者风险承受能力，个人投资者由低至高分为【C1至C</w:t>
      </w:r>
      <w:r>
        <w:rPr>
          <w:rFonts w:ascii="宋体" w:hAnsi="宋体"/>
          <w:sz w:val="18"/>
          <w:szCs w:val="18"/>
        </w:rPr>
        <w:t>6六</w:t>
      </w:r>
      <w:r>
        <w:rPr>
          <w:rFonts w:hint="eastAsia" w:ascii="宋体" w:hAnsi="宋体"/>
          <w:sz w:val="18"/>
          <w:szCs w:val="18"/>
        </w:rPr>
        <w:t>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【C6】</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9"/>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57"/>
        <w:gridCol w:w="486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5" w:hRule="atLeast"/>
          <w:jc w:val="center"/>
        </w:trPr>
        <w:tc>
          <w:tcPr>
            <w:tcW w:w="757" w:type="dxa"/>
            <w:tcBorders>
              <w:top w:val="single" w:color="auto" w:sz="12" w:space="0"/>
              <w:left w:val="single" w:color="auto" w:sz="12" w:space="0"/>
              <w:right w:val="single" w:color="auto" w:sz="4"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安逸型（R1）</w:t>
            </w:r>
          </w:p>
        </w:tc>
        <w:tc>
          <w:tcPr>
            <w:tcW w:w="4860" w:type="dxa"/>
            <w:tcBorders>
              <w:top w:val="single" w:color="auto" w:sz="12" w:space="0"/>
              <w:left w:val="single" w:color="auto" w:sz="4"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本金风险低，产品投资目标不能实现的概率较低；或投资范围仅限于货币市场工具等风险极低的短期金融资产。</w:t>
            </w:r>
          </w:p>
        </w:tc>
        <w:tc>
          <w:tcPr>
            <w:tcW w:w="2865" w:type="dxa"/>
            <w:tcBorders>
              <w:top w:val="single" w:color="auto" w:sz="12" w:space="0"/>
              <w:left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谨慎型（R2）</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本金风险相对较小，收益浮动但相对较小。产品结构简单，过往业绩及净值的历史波动率低；投资标的流动性很好或为较高等级的信用主体；或者衍生品及杠杆交易对净值波动极小；估值政策清晰。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稳健型（R3）</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增长型（R4）</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进取型（R5）</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激进型（R6）</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w:t>
      </w:r>
      <w:r>
        <w:rPr>
          <w:rFonts w:ascii="宋体" w:hAnsi="宋体"/>
          <w:sz w:val="18"/>
          <w:szCs w:val="18"/>
        </w:rPr>
        <w:t>。其中，</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9"/>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spacing w:line="280" w:lineRule="atLeast"/>
        <w:ind w:firstLine="361" w:firstLineChars="200"/>
        <w:rPr>
          <w:rFonts w:asciiTheme="minorEastAsia" w:hAnsiTheme="minorEastAsia"/>
          <w:sz w:val="18"/>
          <w:szCs w:val="18"/>
        </w:rPr>
      </w:pP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
    <w:p/>
    <w:sectPr>
      <w:headerReference r:id="rId13" w:type="default"/>
      <w:footerReference r:id="rId14" w:type="default"/>
      <w:pgSz w:w="11906" w:h="16838"/>
      <w:pgMar w:top="1440" w:right="1800" w:bottom="1440" w:left="1800" w:header="567" w:footer="96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408925579"/>
      <w:showingPlcHdr/>
    </w:sdtPr>
    <w:sdtContent>
      <w:p>
        <w:pPr>
          <w:pStyle w:val="4"/>
          <w:jc w:val="center"/>
          <w:rPr>
            <w:rFonts w:ascii="黑体" w:hAnsi="黑体" w:eastAsia="黑体"/>
            <w:szCs w:val="18"/>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23715647"/>
      <w:showingPlcHdr/>
    </w:sdtPr>
    <w:sdtContent>
      <w:p>
        <w:pPr>
          <w:pStyle w:val="4"/>
          <w:jc w:val="center"/>
        </w:pPr>
      </w:p>
    </w:sdtContent>
  </w:sdt>
  <w:p>
    <w:pPr>
      <w:pStyle w:val="3"/>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57</w:t>
    </w:r>
    <w:r>
      <w:rPr>
        <w:rStyle w:val="13"/>
      </w:rPr>
      <w:fldChar w:fldCharType="end"/>
    </w:r>
  </w:p>
  <w:sdt>
    <w:sdtPr>
      <w:id w:val="-1184442659"/>
      <w:showingPlcHdr/>
    </w:sdtPr>
    <w:sdtContent>
      <w:p>
        <w:pPr>
          <w:pStyle w:val="4"/>
          <w:jc w:val="center"/>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63</w:t>
    </w:r>
    <w:r>
      <w:rPr>
        <w:rStyle w:val="13"/>
      </w:rPr>
      <w:fldChar w:fldCharType="end"/>
    </w:r>
  </w:p>
  <w:sdt>
    <w:sdtPr>
      <w:id w:val="1652492923"/>
      <w:showingPlcHdr/>
    </w:sdtPr>
    <w:sdtContent>
      <w:p>
        <w:pPr>
          <w:pStyle w:val="4"/>
          <w:jc w:val="center"/>
        </w:pPr>
      </w:p>
    </w:sdtContent>
  </w:sdt>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b/>
      </w:rPr>
    </w:pPr>
    <w:r>
      <w:rPr>
        <w:rFonts w:hint="eastAsia"/>
        <w:b/>
      </w:rPr>
      <w:t>投资协议书</w:t>
    </w:r>
  </w:p>
  <w:p>
    <w:pPr>
      <w:pStyle w:val="5"/>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5"/>
      <w:pBdr>
        <w:bottom w:val="none" w:color="auto" w:sz="0" w:space="0"/>
      </w:pBdr>
      <w:jc w:val="right"/>
      <w:rPr>
        <w:rFonts w:ascii="Times New Roman" w:hAnsi="Times New Roman" w:cs="Times New Roman"/>
        <w:b/>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投资者权益须知</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AD7460"/>
    <w:rsid w:val="5E4F6B23"/>
    <w:rsid w:val="79676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99"/>
    <w:pPr>
      <w:widowControl/>
      <w:jc w:val="left"/>
    </w:pPr>
    <w:rPr>
      <w:rFonts w:ascii="宋体" w:hAnsi="宋体"/>
      <w:kern w:val="0"/>
      <w:sz w:val="24"/>
      <w:szCs w:val="24"/>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rPr>
  </w:style>
  <w:style w:type="paragraph" w:styleId="6">
    <w:name w:val="toc 1"/>
    <w:basedOn w:val="1"/>
    <w:next w:val="1"/>
    <w:qFormat/>
    <w:uiPriority w:val="39"/>
    <w:pPr>
      <w:tabs>
        <w:tab w:val="right" w:leader="dot" w:pos="8296"/>
      </w:tabs>
      <w:spacing w:line="360" w:lineRule="auto"/>
    </w:pPr>
  </w:style>
  <w:style w:type="paragraph" w:styleId="7">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page number"/>
    <w:basedOn w:val="11"/>
    <w:qFormat/>
    <w:uiPriority w:val="0"/>
  </w:style>
  <w:style w:type="character" w:styleId="14">
    <w:name w:val="annotation reference"/>
    <w:qFormat/>
    <w:uiPriority w:val="99"/>
    <w:rPr>
      <w:sz w:val="21"/>
      <w:szCs w:val="21"/>
    </w:rPr>
  </w:style>
  <w:style w:type="paragraph" w:styleId="15">
    <w:name w:val="List Paragraph"/>
    <w:basedOn w:val="1"/>
    <w:qFormat/>
    <w:uiPriority w:val="0"/>
    <w:pPr>
      <w:ind w:firstLine="420" w:firstLineChars="200"/>
    </w:pPr>
  </w:style>
  <w:style w:type="paragraph" w:customStyle="1" w:styleId="1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2.jpe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74</Pages>
  <Words>50247</Words>
  <Characters>51061</Characters>
  <Lines>0</Lines>
  <Paragraphs>0</Paragraphs>
  <TotalTime>0</TotalTime>
  <ScaleCrop>false</ScaleCrop>
  <LinksUpToDate>false</LinksUpToDate>
  <CharactersWithSpaces>51652</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2024-10-23T03:37:00Z</dcterms:created>
  <dc:creator>cib</dc:creator>
  <cp:lastModifiedBy>Administrator</cp:lastModifiedBy>
  <dcterms:modified xsi:type="dcterms:W3CDTF">2024-10-23T09:51:40Z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23B5487E0D814FB5A03B34B46312583E</vt:lpwstr>
  </property>
</Properties>
</file>