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【稳添利最短持有期日开固收类】</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【2</w:t>
      </w:r>
      <w:r>
        <w:rPr>
          <w:rStyle w:val="27"/>
          <w:rFonts w:ascii="宋体" w:hAnsi="宋体" w:cs="Times New Roman"/>
          <w:sz w:val="32"/>
          <w:szCs w:val="32"/>
        </w:rPr>
        <w:t>02</w:t>
      </w:r>
      <w:r>
        <w:rPr>
          <w:rStyle w:val="27"/>
          <w:rFonts w:hint="eastAsia" w:ascii="宋体" w:hAnsi="宋体" w:cs="Times New Roman"/>
          <w:sz w:val="32"/>
          <w:szCs w:val="32"/>
          <w:lang w:val="en-US" w:eastAsia="zh-CN"/>
        </w:rPr>
        <w:t>5</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2</w:t>
      </w:r>
      <w:r>
        <w:rPr>
          <w:rStyle w:val="27"/>
          <w:rFonts w:hint="eastAsia" w:ascii="宋体" w:hAnsi="宋体" w:cs="Times New Roman"/>
          <w:sz w:val="32"/>
          <w:szCs w:val="32"/>
        </w:rPr>
        <w:t>】月</w:t>
      </w:r>
      <w:permEnd w:id="1"/>
    </w:p>
    <w:p>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bookmarkStart w:id="0" w:name="_Toc78276587"/>
          <w:r>
            <w:rPr>
              <w:lang w:val="zh-CN"/>
            </w:rPr>
            <w:t>目录</w:t>
          </w:r>
        </w:p>
        <w:p>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"_Toc26572"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_Toc26572 \h </w:instrText>
          </w:r>
          <w:r>
            <w:fldChar w:fldCharType="separate"/>
          </w:r>
          <w:r>
            <w:t>3</w:t>
          </w:r>
          <w:r>
            <w:fldChar w:fldCharType="end"/>
          </w:r>
          <w:r>
            <w:fldChar w:fldCharType="end"/>
          </w:r>
        </w:p>
        <w:p>
          <w:pPr>
            <w:pStyle w:val="16"/>
            <w:tabs>
              <w:tab w:val="right" w:leader="dot" w:pos="8306"/>
            </w:tabs>
          </w:pPr>
          <w:r>
            <w:fldChar w:fldCharType="begin"/>
          </w:r>
          <w:r>
            <w:instrText xml:space="preserve"> HYPERLINK \l "_Toc14559" </w:instrText>
          </w:r>
          <w:r>
            <w:fldChar w:fldCharType="separate"/>
          </w:r>
          <w:r>
            <w:rPr>
              <w:rFonts w:hint="eastAsia" w:hAnsi="宋体"/>
              <w:szCs w:val="28"/>
            </w:rPr>
            <w:t xml:space="preserve">第二条  理财产品基本情况 </w:t>
          </w:r>
          <w:r>
            <w:tab/>
          </w:r>
          <w:r>
            <w:fldChar w:fldCharType="begin"/>
          </w:r>
          <w:r>
            <w:instrText xml:space="preserve"> PAGEREF _Toc14559 \h </w:instrText>
          </w:r>
          <w:r>
            <w:fldChar w:fldCharType="separate"/>
          </w:r>
          <w:r>
            <w:t>8</w:t>
          </w:r>
          <w:r>
            <w:fldChar w:fldCharType="end"/>
          </w:r>
          <w:r>
            <w:fldChar w:fldCharType="end"/>
          </w:r>
        </w:p>
        <w:p>
          <w:pPr>
            <w:pStyle w:val="16"/>
            <w:tabs>
              <w:tab w:val="right" w:leader="dot" w:pos="8306"/>
            </w:tabs>
          </w:pPr>
          <w:r>
            <w:fldChar w:fldCharType="begin"/>
          </w:r>
          <w:r>
            <w:instrText xml:space="preserve"> HYPERLINK \l "_Toc4403"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_Toc4403 \h </w:instrText>
          </w:r>
          <w:r>
            <w:fldChar w:fldCharType="separate"/>
          </w:r>
          <w:r>
            <w:t>14</w:t>
          </w:r>
          <w:r>
            <w:fldChar w:fldCharType="end"/>
          </w:r>
          <w:r>
            <w:fldChar w:fldCharType="end"/>
          </w:r>
        </w:p>
        <w:p>
          <w:pPr>
            <w:pStyle w:val="16"/>
            <w:tabs>
              <w:tab w:val="right" w:leader="dot" w:pos="8306"/>
            </w:tabs>
          </w:pPr>
          <w:r>
            <w:fldChar w:fldCharType="begin"/>
          </w:r>
          <w:r>
            <w:instrText xml:space="preserve"> HYPERLINK \l "_Toc6529"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_Toc6529 \h </w:instrText>
          </w:r>
          <w:r>
            <w:fldChar w:fldCharType="separate"/>
          </w:r>
          <w:r>
            <w:t>16</w:t>
          </w:r>
          <w:r>
            <w:fldChar w:fldCharType="end"/>
          </w:r>
          <w:r>
            <w:fldChar w:fldCharType="end"/>
          </w:r>
        </w:p>
        <w:p>
          <w:pPr>
            <w:pStyle w:val="16"/>
            <w:tabs>
              <w:tab w:val="right" w:leader="dot" w:pos="8306"/>
            </w:tabs>
          </w:pPr>
          <w:r>
            <w:fldChar w:fldCharType="begin"/>
          </w:r>
          <w:r>
            <w:instrText xml:space="preserve"> HYPERLINK \l "_Toc12517"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_Toc12517 \h </w:instrText>
          </w:r>
          <w:r>
            <w:fldChar w:fldCharType="separate"/>
          </w:r>
          <w:r>
            <w:t>20</w:t>
          </w:r>
          <w:r>
            <w:fldChar w:fldCharType="end"/>
          </w:r>
          <w:r>
            <w:fldChar w:fldCharType="end"/>
          </w:r>
        </w:p>
        <w:p>
          <w:pPr>
            <w:pStyle w:val="16"/>
            <w:tabs>
              <w:tab w:val="right" w:leader="dot" w:pos="8306"/>
            </w:tabs>
          </w:pPr>
          <w:r>
            <w:fldChar w:fldCharType="begin"/>
          </w:r>
          <w:r>
            <w:instrText xml:space="preserve"> HYPERLINK \l "_Toc27967"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_Toc27967 \h </w:instrText>
          </w:r>
          <w:r>
            <w:fldChar w:fldCharType="separate"/>
          </w:r>
          <w:r>
            <w:t>23</w:t>
          </w:r>
          <w:r>
            <w:fldChar w:fldCharType="end"/>
          </w:r>
          <w:r>
            <w:fldChar w:fldCharType="end"/>
          </w:r>
        </w:p>
        <w:p>
          <w:pPr>
            <w:pStyle w:val="16"/>
            <w:tabs>
              <w:tab w:val="right" w:leader="dot" w:pos="8306"/>
            </w:tabs>
          </w:pPr>
          <w:r>
            <w:fldChar w:fldCharType="begin"/>
          </w:r>
          <w:r>
            <w:instrText xml:space="preserve"> HYPERLINK \l "_Toc13903"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_Toc13903 \h </w:instrText>
          </w:r>
          <w:r>
            <w:fldChar w:fldCharType="separate"/>
          </w:r>
          <w:r>
            <w:t>24</w:t>
          </w:r>
          <w:r>
            <w:fldChar w:fldCharType="end"/>
          </w:r>
          <w:r>
            <w:fldChar w:fldCharType="end"/>
          </w:r>
        </w:p>
        <w:p>
          <w:pPr>
            <w:pStyle w:val="16"/>
            <w:tabs>
              <w:tab w:val="right" w:leader="dot" w:pos="8306"/>
            </w:tabs>
          </w:pPr>
          <w:r>
            <w:fldChar w:fldCharType="begin"/>
          </w:r>
          <w:r>
            <w:instrText xml:space="preserve"> HYPERLINK \l "_Toc4020"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_Toc4020 \h </w:instrText>
          </w:r>
          <w:r>
            <w:fldChar w:fldCharType="separate"/>
          </w:r>
          <w:r>
            <w:t>28</w:t>
          </w:r>
          <w:r>
            <w:fldChar w:fldCharType="end"/>
          </w:r>
          <w:r>
            <w:fldChar w:fldCharType="end"/>
          </w:r>
        </w:p>
        <w:p>
          <w:pPr>
            <w:pStyle w:val="16"/>
            <w:tabs>
              <w:tab w:val="right" w:leader="dot" w:pos="8306"/>
            </w:tabs>
          </w:pPr>
          <w:r>
            <w:fldChar w:fldCharType="begin"/>
          </w:r>
          <w:r>
            <w:instrText xml:space="preserve"> HYPERLINK \l "_Toc6394"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_Toc6394 \h </w:instrText>
          </w:r>
          <w:r>
            <w:fldChar w:fldCharType="separate"/>
          </w:r>
          <w:r>
            <w:t>29</w:t>
          </w:r>
          <w:r>
            <w:fldChar w:fldCharType="end"/>
          </w:r>
          <w:r>
            <w:fldChar w:fldCharType="end"/>
          </w:r>
        </w:p>
        <w:p>
          <w:pPr>
            <w:pStyle w:val="16"/>
            <w:tabs>
              <w:tab w:val="right" w:leader="dot" w:pos="8306"/>
            </w:tabs>
          </w:pPr>
          <w:r>
            <w:fldChar w:fldCharType="begin"/>
          </w:r>
          <w:r>
            <w:instrText xml:space="preserve"> HYPERLINK \l "_Toc25397"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_Toc25397 \h </w:instrText>
          </w:r>
          <w:r>
            <w:fldChar w:fldCharType="separate"/>
          </w:r>
          <w:r>
            <w:t>32</w:t>
          </w:r>
          <w:r>
            <w:fldChar w:fldCharType="end"/>
          </w:r>
          <w:r>
            <w:fldChar w:fldCharType="end"/>
          </w:r>
        </w:p>
        <w:p>
          <w:pPr>
            <w:pStyle w:val="16"/>
            <w:tabs>
              <w:tab w:val="right" w:leader="dot" w:pos="8306"/>
            </w:tabs>
          </w:pPr>
          <w:r>
            <w:fldChar w:fldCharType="begin"/>
          </w:r>
          <w:r>
            <w:instrText xml:space="preserve"> HYPERLINK \l "_Toc7953"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_Toc7953 \h </w:instrText>
          </w:r>
          <w:r>
            <w:fldChar w:fldCharType="separate"/>
          </w:r>
          <w:r>
            <w:t>34</w:t>
          </w:r>
          <w:r>
            <w:fldChar w:fldCharType="end"/>
          </w:r>
          <w:r>
            <w:fldChar w:fldCharType="end"/>
          </w:r>
        </w:p>
        <w:p>
          <w:pPr>
            <w:pStyle w:val="16"/>
            <w:tabs>
              <w:tab w:val="right" w:leader="dot" w:pos="8306"/>
            </w:tabs>
          </w:pPr>
          <w:r>
            <w:fldChar w:fldCharType="begin"/>
          </w:r>
          <w:r>
            <w:instrText xml:space="preserve"> HYPERLINK \l "_Toc30149"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_Toc30149 \h </w:instrText>
          </w:r>
          <w:r>
            <w:fldChar w:fldCharType="separate"/>
          </w:r>
          <w:r>
            <w:t>36</w:t>
          </w:r>
          <w:r>
            <w:fldChar w:fldCharType="end"/>
          </w:r>
          <w:r>
            <w:fldChar w:fldCharType="end"/>
          </w:r>
        </w:p>
        <w:p>
          <w:pPr>
            <w:spacing w:line="360" w:lineRule="auto"/>
          </w:pPr>
          <w:r>
            <w:fldChar w:fldCharType="end"/>
          </w:r>
        </w:p>
      </w:sdtContent>
    </w:sdt>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26572"/>
      <w:bookmarkStart w:id="2" w:name="_Toc92377130"/>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2"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2"/>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3" w:edGrp="everyone"/>
      <w:r>
        <w:rPr>
          <w:rFonts w:hint="eastAsia" w:asciiTheme="majorEastAsia" w:hAnsiTheme="majorEastAsia" w:eastAsiaTheme="majorEastAsia"/>
          <w:bCs/>
          <w:sz w:val="18"/>
          <w:szCs w:val="18"/>
        </w:rPr>
        <w:t>【稳添利最短持有期日开固收类】</w:t>
      </w:r>
      <w:permEnd w:id="3"/>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4" w:edGrp="everyone"/>
      <w:r>
        <w:rPr>
          <w:rFonts w:hint="eastAsia" w:asciiTheme="majorEastAsia" w:hAnsiTheme="majorEastAsia" w:eastAsiaTheme="majorEastAsia"/>
          <w:bCs/>
          <w:sz w:val="18"/>
          <w:szCs w:val="18"/>
        </w:rPr>
        <w:t>【稳添利最短持有期日开固收类】</w:t>
      </w:r>
      <w:permEnd w:id="4"/>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5" w:edGrp="everyone"/>
      <w:r>
        <w:rPr>
          <w:rFonts w:hint="eastAsia" w:asciiTheme="majorEastAsia" w:hAnsiTheme="majorEastAsia" w:eastAsiaTheme="majorEastAsia"/>
          <w:bCs/>
          <w:sz w:val="18"/>
          <w:szCs w:val="18"/>
        </w:rPr>
        <w:t>【稳添利最短持有期日开固收类】</w:t>
      </w:r>
      <w:permEnd w:id="5"/>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6" w:edGrp="everyone"/>
      <w:r>
        <w:rPr>
          <w:rFonts w:hint="eastAsia" w:asciiTheme="majorEastAsia" w:hAnsiTheme="majorEastAsia" w:eastAsiaTheme="majorEastAsia"/>
          <w:bCs/>
          <w:sz w:val="18"/>
          <w:szCs w:val="18"/>
        </w:rPr>
        <w:t>【稳添利最短持有期日开固收类】</w:t>
      </w:r>
      <w:permEnd w:id="6"/>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7" w:edGrp="everyone"/>
      <w:r>
        <w:rPr>
          <w:rFonts w:hint="eastAsia" w:asciiTheme="majorEastAsia" w:hAnsiTheme="majorEastAsia" w:eastAsiaTheme="majorEastAsia"/>
          <w:bCs/>
          <w:sz w:val="18"/>
          <w:szCs w:val="18"/>
        </w:rPr>
        <w:t>【稳添利最短持有期日开固收类】</w:t>
      </w:r>
      <w:permEnd w:id="7"/>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8" w:edGrp="everyone"/>
      <w:r>
        <w:rPr>
          <w:rFonts w:hint="eastAsia" w:asciiTheme="majorEastAsia" w:hAnsiTheme="majorEastAsia" w:eastAsiaTheme="majorEastAsia"/>
          <w:bCs/>
          <w:sz w:val="18"/>
          <w:szCs w:val="18"/>
        </w:rPr>
        <w:t>【稳添利最短持有期日开固收类】</w:t>
      </w:r>
      <w:permEnd w:id="8"/>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9" w:edGrp="everyone"/>
      <w:r>
        <w:rPr>
          <w:rFonts w:hint="eastAsia" w:asciiTheme="majorEastAsia" w:hAnsiTheme="majorEastAsia" w:eastAsiaTheme="majorEastAsia"/>
          <w:bCs/>
          <w:sz w:val="18"/>
          <w:szCs w:val="18"/>
        </w:rPr>
        <w:t>【稳添利最短持有期日开固收类】</w:t>
      </w:r>
      <w:permEnd w:id="9"/>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0" w:edGrp="everyone"/>
      <w:r>
        <w:rPr>
          <w:rFonts w:hint="eastAsia" w:asciiTheme="majorEastAsia" w:hAnsiTheme="majorEastAsia" w:eastAsiaTheme="majorEastAsia"/>
          <w:bCs/>
          <w:sz w:val="18"/>
          <w:szCs w:val="18"/>
        </w:rPr>
        <w:t>【稳添利最短持有期日开固收类】</w:t>
      </w:r>
      <w:permEnd w:id="10"/>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1" w:edGrp="everyone"/>
      <w:r>
        <w:rPr>
          <w:rFonts w:hint="eastAsia" w:asciiTheme="majorEastAsia" w:hAnsiTheme="majorEastAsia" w:eastAsiaTheme="majorEastAsia"/>
          <w:bCs/>
          <w:sz w:val="18"/>
          <w:szCs w:val="18"/>
        </w:rPr>
        <w:t>【稳添利最短持有期日开固收类】</w:t>
      </w:r>
      <w:permEnd w:id="11"/>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）国家金融监督管理总局：为免歧义，原中国银行业监督管理委员会、原中国银行保险监督管理委员会与国家金融监督管理总局均统称为“国家金融监督管理总局”。</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（3）适用法律：指在理财销售文件签署日和履行过程中，适用中华人民共和国法律（为本销售文件之目的，在此不包括香港、澳门特别行政区和台湾地区的法律），包括中国任何立法机构、政府部门、银行业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3" w:name="_Toc79154665"/>
      <w:bookmarkStart w:id="4" w:name="_Toc92377131"/>
      <w:bookmarkStart w:id="5" w:name="_Toc14559"/>
      <w:r>
        <w:rPr>
          <w:rFonts w:hint="eastAsia" w:hAnsi="宋体"/>
          <w:sz w:val="28"/>
          <w:szCs w:val="28"/>
        </w:rPr>
        <w:t>第二条  理财产品基本情况</w:t>
      </w:r>
      <w:bookmarkEnd w:id="3"/>
      <w:bookmarkEnd w:id="4"/>
      <w:r>
        <w:rPr>
          <w:rFonts w:hint="eastAsia" w:hAnsi="宋体"/>
          <w:sz w:val="28"/>
          <w:szCs w:val="28"/>
        </w:rPr>
        <w:t xml:space="preserve"> </w:t>
      </w:r>
      <w:bookmarkEnd w:id="5"/>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permStart w:id="12"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sz w:val="18"/>
                <w:szCs w:val="18"/>
              </w:rPr>
              <w:t>【兴银理财稳添利双月盈10号(2个月最短持有期)日开固收类理财产品】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pPr>
              <w:widowControl/>
              <w:spacing w:line="360" w:lineRule="auto"/>
              <w:jc w:val="left"/>
              <w:rPr>
                <w:rFonts w:hint="eastAsia" w:hAnsi="宋体"/>
                <w:sz w:val="18"/>
                <w:szCs w:val="18"/>
              </w:rPr>
            </w:pPr>
            <w:r>
              <w:rPr>
                <w:rFonts w:hint="eastAsia" w:asciiTheme="majorEastAsia" w:hAnsiTheme="majorEastAsia" w:eastAsiaTheme="majorEastAsia"/>
                <w:bCs/>
                <w:kern w:val="0"/>
                <w:sz w:val="18"/>
                <w:szCs w:val="18"/>
              </w:rPr>
              <w:t>【</w:t>
            </w:r>
            <w:r>
              <w:rPr>
                <w:rFonts w:hint="eastAsia" w:ascii="宋体" w:hAnsi="宋体"/>
                <w:sz w:val="18"/>
                <w:szCs w:val="18"/>
              </w:rPr>
              <w:t>兴银稳添利双月盈10号B</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hAnsi="宋体"/>
                <w:sz w:val="18"/>
                <w:szCs w:val="18"/>
                <w:lang w:val="en-US" w:eastAsia="zh-CN"/>
              </w:rPr>
              <w:t>B</w:t>
            </w:r>
            <w:r>
              <w:rPr>
                <w:rFonts w:hint="eastAsia" w:hAnsi="宋体"/>
                <w:sz w:val="18"/>
                <w:szCs w:val="18"/>
              </w:rPr>
              <w:t>】类份额）</w:t>
            </w:r>
          </w:p>
          <w:p>
            <w:pPr>
              <w:widowControl/>
              <w:spacing w:line="360" w:lineRule="auto"/>
              <w:jc w:val="left"/>
              <w:rPr>
                <w:rFonts w:hint="eastAsia" w:hAnsi="宋体"/>
                <w:sz w:val="18"/>
                <w:szCs w:val="18"/>
              </w:rPr>
            </w:pPr>
            <w:r>
              <w:rPr>
                <w:rFonts w:hint="eastAsia" w:asciiTheme="majorEastAsia" w:hAnsiTheme="majorEastAsia" w:eastAsiaTheme="majorEastAsia"/>
                <w:bCs/>
                <w:kern w:val="0"/>
                <w:sz w:val="18"/>
                <w:szCs w:val="18"/>
              </w:rPr>
              <w:t>【</w:t>
            </w:r>
            <w:r>
              <w:rPr>
                <w:rFonts w:hint="eastAsia" w:ascii="宋体" w:hAnsi="宋体"/>
                <w:sz w:val="18"/>
                <w:szCs w:val="18"/>
              </w:rPr>
              <w:t>兴银稳添利双月盈10号</w:t>
            </w:r>
            <w:r>
              <w:rPr>
                <w:rFonts w:hint="eastAsia" w:ascii="宋体" w:hAnsi="宋体"/>
                <w:sz w:val="18"/>
                <w:szCs w:val="18"/>
                <w:lang w:val="en-US" w:eastAsia="zh-CN"/>
              </w:rPr>
              <w:t>C</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hAnsi="宋体"/>
                <w:sz w:val="18"/>
                <w:szCs w:val="18"/>
                <w:lang w:val="en-US" w:eastAsia="zh-CN"/>
              </w:rPr>
              <w:t>C</w:t>
            </w:r>
            <w:r>
              <w:rPr>
                <w:rFonts w:hint="eastAsia" w:hAnsi="宋体"/>
                <w:sz w:val="18"/>
                <w:szCs w:val="18"/>
              </w:rPr>
              <w:t>】类份额）</w:t>
            </w:r>
          </w:p>
          <w:p>
            <w:pPr>
              <w:widowControl/>
              <w:spacing w:line="360" w:lineRule="auto"/>
              <w:jc w:val="left"/>
              <w:rPr>
                <w:rFonts w:hint="eastAsia" w:hAnsi="宋体"/>
                <w:sz w:val="18"/>
                <w:szCs w:val="18"/>
              </w:rPr>
            </w:pPr>
            <w:r>
              <w:rPr>
                <w:rFonts w:hint="eastAsia" w:asciiTheme="majorEastAsia" w:hAnsiTheme="majorEastAsia" w:eastAsiaTheme="majorEastAsia"/>
                <w:bCs/>
                <w:kern w:val="0"/>
                <w:sz w:val="18"/>
                <w:szCs w:val="18"/>
              </w:rPr>
              <w:t>【</w:t>
            </w:r>
            <w:r>
              <w:rPr>
                <w:rFonts w:hint="eastAsia" w:ascii="宋体" w:hAnsi="宋体"/>
                <w:sz w:val="18"/>
                <w:szCs w:val="18"/>
              </w:rPr>
              <w:t>兴银稳添利双月盈10号</w:t>
            </w:r>
            <w:r>
              <w:rPr>
                <w:rFonts w:hint="eastAsia" w:ascii="宋体" w:hAnsi="宋体"/>
                <w:sz w:val="18"/>
                <w:szCs w:val="18"/>
                <w:lang w:val="en-US" w:eastAsia="zh-CN"/>
              </w:rPr>
              <w:t>D</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hAnsi="宋体"/>
                <w:sz w:val="18"/>
                <w:szCs w:val="18"/>
                <w:lang w:val="en-US" w:eastAsia="zh-CN"/>
              </w:rPr>
              <w:t>D</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【Z7002023001466】</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r>
              <w:rPr>
                <w:rFonts w:hint="eastAsia" w:ascii="宋体" w:hAnsi="宋体"/>
                <w:bCs/>
                <w:sz w:val="18"/>
                <w:szCs w:val="18"/>
              </w:rPr>
              <w:t>9K900700】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pPr>
              <w:spacing w:line="360" w:lineRule="auto"/>
              <w:jc w:val="left"/>
              <w:rPr>
                <w:rFonts w:hint="eastAsia" w:hAnsi="宋体"/>
                <w:sz w:val="18"/>
                <w:szCs w:val="18"/>
              </w:rPr>
            </w:pPr>
            <w:r>
              <w:rPr>
                <w:rFonts w:hint="eastAsia" w:hAnsi="宋体"/>
                <w:sz w:val="18"/>
                <w:szCs w:val="18"/>
              </w:rPr>
              <w:t>【</w:t>
            </w:r>
            <w:r>
              <w:rPr>
                <w:rFonts w:hint="eastAsia" w:ascii="宋体" w:hAnsi="宋体"/>
                <w:bCs/>
                <w:sz w:val="18"/>
                <w:szCs w:val="18"/>
              </w:rPr>
              <w:t>9K90070</w:t>
            </w:r>
            <w:r>
              <w:rPr>
                <w:rFonts w:hint="eastAsia" w:ascii="宋体" w:hAnsi="宋体"/>
                <w:bCs/>
                <w:sz w:val="18"/>
                <w:szCs w:val="18"/>
                <w:lang w:val="en-US" w:eastAsia="zh-CN"/>
              </w:rPr>
              <w:t>B</w:t>
            </w:r>
            <w:r>
              <w:rPr>
                <w:rFonts w:hint="eastAsia" w:hAnsi="宋体"/>
                <w:sz w:val="18"/>
                <w:szCs w:val="18"/>
              </w:rPr>
              <w:t>】（适用【</w:t>
            </w:r>
            <w:r>
              <w:rPr>
                <w:rFonts w:hint="eastAsia" w:hAnsi="宋体"/>
                <w:sz w:val="18"/>
                <w:szCs w:val="18"/>
                <w:lang w:val="en-US" w:eastAsia="zh-CN"/>
              </w:rPr>
              <w:t>B</w:t>
            </w:r>
            <w:r>
              <w:rPr>
                <w:rFonts w:hint="eastAsia" w:hAnsi="宋体"/>
                <w:sz w:val="18"/>
                <w:szCs w:val="18"/>
              </w:rPr>
              <w:t>】类份额）</w:t>
            </w:r>
          </w:p>
          <w:p>
            <w:pPr>
              <w:spacing w:line="360" w:lineRule="auto"/>
              <w:jc w:val="left"/>
              <w:rPr>
                <w:rFonts w:hint="eastAsia" w:hAnsi="宋体"/>
                <w:sz w:val="18"/>
                <w:szCs w:val="18"/>
              </w:rPr>
            </w:pPr>
            <w:r>
              <w:rPr>
                <w:rFonts w:hint="eastAsia" w:hAnsi="宋体"/>
                <w:sz w:val="18"/>
                <w:szCs w:val="18"/>
              </w:rPr>
              <w:t>【</w:t>
            </w:r>
            <w:r>
              <w:rPr>
                <w:rFonts w:hint="eastAsia" w:ascii="宋体" w:hAnsi="宋体"/>
                <w:bCs/>
                <w:sz w:val="18"/>
                <w:szCs w:val="18"/>
              </w:rPr>
              <w:t>9K90070</w:t>
            </w:r>
            <w:r>
              <w:rPr>
                <w:rFonts w:hint="eastAsia" w:ascii="宋体" w:hAnsi="宋体"/>
                <w:bCs/>
                <w:sz w:val="18"/>
                <w:szCs w:val="18"/>
                <w:lang w:val="en-US" w:eastAsia="zh-CN"/>
              </w:rPr>
              <w:t>C</w:t>
            </w:r>
            <w:r>
              <w:rPr>
                <w:rFonts w:hint="eastAsia" w:hAnsi="宋体"/>
                <w:sz w:val="18"/>
                <w:szCs w:val="18"/>
              </w:rPr>
              <w:t>】（适用【</w:t>
            </w:r>
            <w:r>
              <w:rPr>
                <w:rFonts w:hint="eastAsia" w:hAnsi="宋体"/>
                <w:sz w:val="18"/>
                <w:szCs w:val="18"/>
                <w:lang w:val="en-US" w:eastAsia="zh-CN"/>
              </w:rPr>
              <w:t>C</w:t>
            </w:r>
            <w:r>
              <w:rPr>
                <w:rFonts w:hint="eastAsia" w:hAnsi="宋体"/>
                <w:sz w:val="18"/>
                <w:szCs w:val="18"/>
              </w:rPr>
              <w:t>】类份额）</w:t>
            </w:r>
          </w:p>
          <w:p>
            <w:pPr>
              <w:spacing w:line="360" w:lineRule="auto"/>
              <w:jc w:val="left"/>
              <w:rPr>
                <w:rFonts w:hint="eastAsia" w:hAnsi="宋体"/>
                <w:sz w:val="18"/>
                <w:szCs w:val="18"/>
              </w:rPr>
            </w:pPr>
            <w:r>
              <w:rPr>
                <w:rFonts w:hint="eastAsia" w:hAnsi="宋体"/>
                <w:sz w:val="18"/>
                <w:szCs w:val="18"/>
              </w:rPr>
              <w:t>【</w:t>
            </w:r>
            <w:r>
              <w:rPr>
                <w:rFonts w:hint="eastAsia" w:ascii="宋体" w:hAnsi="宋体"/>
                <w:bCs/>
                <w:sz w:val="18"/>
                <w:szCs w:val="18"/>
              </w:rPr>
              <w:t>9K90070</w:t>
            </w:r>
            <w:r>
              <w:rPr>
                <w:rFonts w:hint="eastAsia" w:ascii="宋体" w:hAnsi="宋体"/>
                <w:bCs/>
                <w:sz w:val="18"/>
                <w:szCs w:val="18"/>
                <w:lang w:val="en-US" w:eastAsia="zh-CN"/>
              </w:rPr>
              <w:t>D</w:t>
            </w:r>
            <w:r>
              <w:rPr>
                <w:rFonts w:hint="eastAsia" w:hAnsi="宋体"/>
                <w:sz w:val="18"/>
                <w:szCs w:val="18"/>
              </w:rPr>
              <w:t>】（适用【</w:t>
            </w:r>
            <w:r>
              <w:rPr>
                <w:rFonts w:hint="eastAsia" w:hAnsi="宋体"/>
                <w:sz w:val="18"/>
                <w:szCs w:val="18"/>
                <w:lang w:val="en-US" w:eastAsia="zh-CN"/>
              </w:rPr>
              <w:t>D</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、开放式、固定收益类、非保本浮动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276"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宋体" w:hAnsi="宋体"/>
                <w:b/>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规模为【20】亿元。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3</w:t>
            </w:r>
            <w:r>
              <w:rPr>
                <w:rFonts w:hint="eastAsia" w:cs="Times New Roman" w:asciiTheme="minorEastAsia" w:hAnsiTheme="minorEastAsia"/>
                <w:sz w:val="18"/>
                <w:szCs w:val="18"/>
              </w:rPr>
              <w:t>】月【26】日【9:0</w:t>
            </w:r>
            <w:r>
              <w:rPr>
                <w:rFonts w:cs="Times New Roman" w:asciiTheme="minorEastAsia" w:hAnsiTheme="minorEastAsia"/>
                <w:sz w:val="18"/>
                <w:szCs w:val="18"/>
              </w:rPr>
              <w:t>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4</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1</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r>
              <w:rPr>
                <w:rFonts w:hint="eastAsia" w:cs="Times New Roman" w:asciiTheme="minorEastAsia" w:hAnsiTheme="minorEastAsia"/>
                <w:sz w:val="18"/>
                <w:szCs w:val="18"/>
              </w:rPr>
              <w:t>1</w:t>
            </w:r>
            <w:r>
              <w:rPr>
                <w:rFonts w:cs="Times New Roman" w:asciiTheme="minorEastAsia" w:hAnsiTheme="minorEastAsia"/>
                <w:sz w:val="18"/>
                <w:szCs w:val="18"/>
              </w:rPr>
              <w:t>7</w:t>
            </w:r>
            <w:r>
              <w:rPr>
                <w:rFonts w:hint="eastAsia" w:cs="Times New Roman" w:asciiTheme="minorEastAsia" w:hAnsiTheme="minorEastAsia"/>
                <w:sz w:val="18"/>
                <w:szCs w:val="18"/>
              </w:rPr>
              <w:t>:0</w:t>
            </w:r>
            <w:r>
              <w:rPr>
                <w:rFonts w:cs="Times New Roman" w:asciiTheme="minorEastAsia" w:hAnsiTheme="minorEastAsia"/>
                <w:sz w:val="18"/>
                <w:szCs w:val="18"/>
              </w:rPr>
              <w:t>0</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4</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4</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w:t>
            </w:r>
            <w:r>
              <w:rPr>
                <w:rFonts w:hint="eastAsia" w:cs="Times New Roman" w:asciiTheme="minorEastAsia" w:hAnsiTheme="minorEastAsia"/>
                <w:sz w:val="18"/>
                <w:szCs w:val="18"/>
              </w:rPr>
              <w:t>】日</w:t>
            </w:r>
            <w:r>
              <w:rPr>
                <w:rFonts w:hint="eastAsia" w:cs="仿宋_GB2312" w:asciiTheme="minorEastAsia" w:hAnsiTheme="minorEastAsia"/>
                <w:sz w:val="18"/>
                <w:szCs w:val="18"/>
              </w:rPr>
              <w:t>至</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4</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15</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本产品最短持有期为【</w:t>
            </w:r>
            <w:r>
              <w:rPr>
                <w:rFonts w:asciiTheme="minorEastAsia" w:hAnsiTheme="minorEastAsia"/>
                <w:sz w:val="18"/>
                <w:szCs w:val="18"/>
              </w:rPr>
              <w:t>60</w:t>
            </w:r>
            <w:r>
              <w:rPr>
                <w:rFonts w:hint="eastAsia" w:asciiTheme="minorEastAsia" w:hAnsiTheme="minorEastAsia"/>
                <w:sz w:val="18"/>
                <w:szCs w:val="18"/>
              </w:rPr>
              <w:t>】个自然日。本产品封闭期结束后的第一个工作日起每日开放（产品管理人公告暂停开放的日期除外），投资者可于开放日提交申购申请。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自产品成立日/申购确认日起第【</w:t>
            </w:r>
            <w:r>
              <w:rPr>
                <w:rFonts w:asciiTheme="minorEastAsia" w:hAnsiTheme="minorEastAsia"/>
                <w:sz w:val="18"/>
                <w:szCs w:val="18"/>
              </w:rPr>
              <w:t>60</w:t>
            </w:r>
            <w:r>
              <w:rPr>
                <w:rFonts w:hint="eastAsia" w:asciiTheme="majorEastAsia" w:hAnsiTheme="majorEastAsia" w:eastAsiaTheme="majorEastAsia"/>
                <w:bCs/>
                <w:sz w:val="18"/>
                <w:szCs w:val="18"/>
              </w:rPr>
              <w:t>】个自然日内（不含当日）投资者不能赎回该产品份额，自产品成立日/申购确认日起第【</w:t>
            </w:r>
            <w:r>
              <w:rPr>
                <w:rFonts w:asciiTheme="minorEastAsia" w:hAnsiTheme="minorEastAsia"/>
                <w:sz w:val="18"/>
                <w:szCs w:val="18"/>
              </w:rPr>
              <w:t>60</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【17:00】</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【17:00】</w:t>
            </w:r>
            <w:r>
              <w:rPr>
                <w:rFonts w:hint="eastAsia" w:asciiTheme="minorEastAsia" w:hAnsiTheme="minorEastAsia" w:eastAsiaTheme="minorEastAsia"/>
                <w:sz w:val="18"/>
                <w:szCs w:val="18"/>
              </w:rPr>
              <w:t>后提交申购申请的，下一个工作日为申购日。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】个工作日内对投资者的申购申请的有效性进行确认，并登记理财份额。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【17:00】</w:t>
            </w:r>
            <w:r>
              <w:rPr>
                <w:rFonts w:hint="eastAsia" w:asciiTheme="minorEastAsia" w:hAnsiTheme="minorEastAsia" w:eastAsiaTheme="minorEastAsia"/>
                <w:sz w:val="18"/>
                <w:szCs w:val="18"/>
              </w:rPr>
              <w:t>前提交赎回申请的，提交当日为赎回日。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【17:00】</w:t>
            </w:r>
            <w:r>
              <w:rPr>
                <w:rFonts w:hint="eastAsia" w:asciiTheme="minorEastAsia" w:hAnsiTheme="minorEastAsia" w:eastAsiaTheme="minorEastAsia"/>
                <w:sz w:val="18"/>
                <w:szCs w:val="18"/>
              </w:rPr>
              <w:t>后提交赎回申请的，下一个工作日为赎回日。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】个工作日内对投资者的赎回申请的有效性进行确认，并注销理财份额。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日后【3】个工作日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hint="eastAsia"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购买起点金额为【1】元；超出起点金额的部分以【0</w:t>
            </w:r>
            <w:r>
              <w:rPr>
                <w:rFonts w:asciiTheme="majorEastAsia" w:hAnsiTheme="majorEastAsia" w:eastAsiaTheme="majorEastAsia"/>
                <w:bCs/>
                <w:sz w:val="18"/>
                <w:szCs w:val="18"/>
              </w:rPr>
              <w:t>.01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B/C/D</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int="eastAsia" w:hAnsi="宋体"/>
                <w:bCs/>
                <w:sz w:val="18"/>
                <w:szCs w:val="18"/>
              </w:rPr>
              <w:t>（适用【</w:t>
            </w:r>
            <w:r>
              <w:rPr>
                <w:rFonts w:hint="eastAsia" w:hAnsi="宋体"/>
                <w:bCs/>
                <w:sz w:val="18"/>
                <w:szCs w:val="18"/>
                <w:lang w:val="en-US" w:eastAsia="zh-CN"/>
              </w:rPr>
              <w:t>B/C/D</w:t>
            </w:r>
            <w:r>
              <w:rPr>
                <w:rFonts w:hint="eastAsia" w:hAnsi="宋体"/>
                <w:bCs/>
                <w:sz w:val="18"/>
                <w:szCs w:val="18"/>
              </w:rPr>
              <w:t>】类份额）</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】份，符合产品管理人流动性管理的稳定资金除外。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34"/>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hint="eastAsia" w:asciiTheme="majorEastAsia" w:hAnsiTheme="majorEastAsia"/>
                <w:sz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业绩比较基准的设定</w:t>
            </w:r>
            <w:r>
              <w:rPr>
                <w:rFonts w:hint="eastAsia" w:asciiTheme="majorEastAsia" w:hAnsiTheme="majorEastAsia" w:eastAsiaTheme="majorEastAsia"/>
                <w:bCs/>
                <w:sz w:val="18"/>
                <w:szCs w:val="18"/>
              </w:rPr>
              <w:t>：</w:t>
            </w:r>
            <w:r>
              <w:rPr>
                <w:rFonts w:hint="eastAsia" w:asciiTheme="majorEastAsia" w:hAnsiTheme="majorEastAsia"/>
                <w:sz w:val="18"/>
              </w:rPr>
              <w:t>管理人对</w:t>
            </w:r>
            <w:r>
              <w:rPr>
                <w:rFonts w:asciiTheme="majorEastAsia" w:hAnsiTheme="majorEastAsia"/>
                <w:sz w:val="18"/>
              </w:rPr>
              <w:t>本产品设定</w:t>
            </w:r>
            <w:r>
              <w:rPr>
                <w:rFonts w:hint="eastAsia" w:asciiTheme="majorEastAsia" w:hAnsiTheme="majorEastAsia"/>
                <w:sz w:val="18"/>
              </w:rPr>
              <w:t>业绩比较基准：</w:t>
            </w:r>
          </w:p>
          <w:p>
            <w:pPr>
              <w:spacing w:line="360" w:lineRule="auto"/>
              <w:jc w:val="left"/>
              <w:rPr>
                <w:rFonts w:hint="eastAsia" w:hAnsi="宋体"/>
                <w:bCs/>
                <w:sz w:val="18"/>
                <w:szCs w:val="18"/>
              </w:rPr>
            </w:pPr>
            <w:r>
              <w:rPr>
                <w:rFonts w:hint="eastAsia" w:asciiTheme="majorEastAsia" w:hAnsiTheme="majorEastAsia"/>
                <w:sz w:val="18"/>
              </w:rPr>
              <w:t>年化</w:t>
            </w:r>
            <w:r>
              <w:rPr>
                <w:rFonts w:hint="eastAsia" w:ascii="宋体" w:hAnsi="宋体"/>
                <w:bCs/>
                <w:sz w:val="18"/>
                <w:szCs w:val="18"/>
              </w:rPr>
              <w:t>【2.</w:t>
            </w:r>
            <w:r>
              <w:rPr>
                <w:rFonts w:hint="eastAsia" w:ascii="宋体" w:hAnsi="宋体"/>
                <w:bCs/>
                <w:sz w:val="18"/>
                <w:szCs w:val="18"/>
                <w:lang w:val="en-US" w:eastAsia="zh-CN"/>
              </w:rPr>
              <w:t>1</w:t>
            </w:r>
            <w:r>
              <w:rPr>
                <w:rFonts w:hint="eastAsia" w:ascii="宋体" w:hAnsi="宋体"/>
                <w:bCs/>
                <w:sz w:val="18"/>
                <w:szCs w:val="18"/>
              </w:rPr>
              <w:t>5</w:t>
            </w:r>
            <w:r>
              <w:rPr>
                <w:rFonts w:ascii="宋体" w:hAnsi="宋体"/>
                <w:bCs/>
                <w:sz w:val="18"/>
                <w:szCs w:val="18"/>
              </w:rPr>
              <w:t>-</w:t>
            </w:r>
            <w:r>
              <w:rPr>
                <w:rFonts w:hint="eastAsia" w:ascii="宋体" w:hAnsi="宋体"/>
                <w:bCs/>
                <w:sz w:val="18"/>
                <w:szCs w:val="18"/>
              </w:rPr>
              <w:t>3.</w:t>
            </w:r>
            <w:r>
              <w:rPr>
                <w:rFonts w:hint="eastAsia" w:ascii="宋体" w:hAnsi="宋体"/>
                <w:bCs/>
                <w:sz w:val="18"/>
                <w:szCs w:val="18"/>
                <w:lang w:val="en-US" w:eastAsia="zh-CN"/>
              </w:rPr>
              <w:t>8</w:t>
            </w:r>
            <w:r>
              <w:rPr>
                <w:rFonts w:hint="eastAsia" w:ascii="宋体" w:hAnsi="宋体"/>
                <w:bCs/>
                <w:sz w:val="18"/>
                <w:szCs w:val="18"/>
              </w:rPr>
              <w:t>5</w:t>
            </w:r>
            <w:r>
              <w:rPr>
                <w:rFonts w:ascii="宋体" w:hAnsi="宋体"/>
                <w:bCs/>
                <w:sz w:val="18"/>
                <w:szCs w:val="18"/>
              </w:rPr>
              <w:t>】</w:t>
            </w:r>
            <w:r>
              <w:rPr>
                <w:rFonts w:hint="eastAsia" w:ascii="宋体" w:hAnsi="宋体"/>
                <w:bCs/>
                <w:sz w:val="18"/>
                <w:szCs w:val="18"/>
              </w:rPr>
              <w:t>%。</w:t>
            </w:r>
            <w:r>
              <w:rPr>
                <w:rFonts w:hint="eastAsia" w:hAnsi="宋体"/>
                <w:bCs/>
                <w:sz w:val="18"/>
                <w:szCs w:val="18"/>
              </w:rPr>
              <w:t>（适用【</w:t>
            </w:r>
            <w:r>
              <w:rPr>
                <w:rFonts w:hint="eastAsia" w:hAnsi="宋体"/>
                <w:bCs/>
                <w:sz w:val="18"/>
                <w:szCs w:val="18"/>
                <w:lang w:val="en-US" w:eastAsia="zh-CN"/>
              </w:rPr>
              <w:t>B</w:t>
            </w:r>
            <w:r>
              <w:rPr>
                <w:rFonts w:hint="eastAsia" w:hAnsi="宋体"/>
                <w:bCs/>
                <w:sz w:val="18"/>
                <w:szCs w:val="18"/>
              </w:rPr>
              <w:t>】类份额）</w:t>
            </w:r>
          </w:p>
          <w:p>
            <w:pPr>
              <w:spacing w:line="360" w:lineRule="auto"/>
              <w:jc w:val="left"/>
              <w:rPr>
                <w:rFonts w:ascii="宋体" w:hAnsi="宋体"/>
                <w:b/>
                <w:bCs/>
                <w:sz w:val="18"/>
                <w:szCs w:val="18"/>
              </w:rPr>
            </w:pPr>
            <w:r>
              <w:rPr>
                <w:rFonts w:hint="eastAsia" w:asciiTheme="majorEastAsia" w:hAnsiTheme="majorEastAsia"/>
                <w:sz w:val="18"/>
              </w:rPr>
              <w:t>年化</w:t>
            </w:r>
            <w:r>
              <w:rPr>
                <w:rFonts w:hint="eastAsia" w:ascii="宋体" w:hAnsi="宋体"/>
                <w:bCs/>
                <w:sz w:val="18"/>
                <w:szCs w:val="18"/>
              </w:rPr>
              <w:t>【2.</w:t>
            </w:r>
            <w:r>
              <w:rPr>
                <w:rFonts w:hint="eastAsia" w:ascii="宋体" w:hAnsi="宋体"/>
                <w:bCs/>
                <w:sz w:val="18"/>
                <w:szCs w:val="18"/>
                <w:lang w:val="en-US" w:eastAsia="zh-CN"/>
              </w:rPr>
              <w:t>0</w:t>
            </w:r>
            <w:r>
              <w:rPr>
                <w:rFonts w:hint="eastAsia" w:ascii="宋体" w:hAnsi="宋体"/>
                <w:bCs/>
                <w:sz w:val="18"/>
                <w:szCs w:val="18"/>
              </w:rPr>
              <w:t>5</w:t>
            </w:r>
            <w:r>
              <w:rPr>
                <w:rFonts w:ascii="宋体" w:hAnsi="宋体"/>
                <w:bCs/>
                <w:sz w:val="18"/>
                <w:szCs w:val="18"/>
              </w:rPr>
              <w:t>-</w:t>
            </w:r>
            <w:r>
              <w:rPr>
                <w:rFonts w:hint="eastAsia" w:ascii="宋体" w:hAnsi="宋体"/>
                <w:bCs/>
                <w:sz w:val="18"/>
                <w:szCs w:val="18"/>
              </w:rPr>
              <w:t>3.</w:t>
            </w:r>
            <w:r>
              <w:rPr>
                <w:rFonts w:hint="eastAsia" w:ascii="宋体" w:hAnsi="宋体"/>
                <w:bCs/>
                <w:sz w:val="18"/>
                <w:szCs w:val="18"/>
                <w:lang w:val="en-US" w:eastAsia="zh-CN"/>
              </w:rPr>
              <w:t>7</w:t>
            </w:r>
            <w:r>
              <w:rPr>
                <w:rFonts w:hint="eastAsia" w:ascii="宋体" w:hAnsi="宋体"/>
                <w:bCs/>
                <w:sz w:val="18"/>
                <w:szCs w:val="18"/>
              </w:rPr>
              <w:t>5</w:t>
            </w:r>
            <w:r>
              <w:rPr>
                <w:rFonts w:ascii="宋体" w:hAnsi="宋体"/>
                <w:bCs/>
                <w:sz w:val="18"/>
                <w:szCs w:val="18"/>
              </w:rPr>
              <w:t>】</w:t>
            </w:r>
            <w:r>
              <w:rPr>
                <w:rFonts w:hint="eastAsia" w:ascii="宋体" w:hAnsi="宋体"/>
                <w:bCs/>
                <w:sz w:val="18"/>
                <w:szCs w:val="18"/>
              </w:rPr>
              <w:t>%。</w:t>
            </w:r>
            <w:r>
              <w:rPr>
                <w:rFonts w:hint="eastAsia" w:hAnsi="宋体"/>
                <w:bCs/>
                <w:sz w:val="18"/>
                <w:szCs w:val="18"/>
              </w:rPr>
              <w:t>（适用【</w:t>
            </w:r>
            <w:r>
              <w:rPr>
                <w:rFonts w:hint="eastAsia" w:hAnsi="宋体"/>
                <w:bCs/>
                <w:sz w:val="18"/>
                <w:szCs w:val="18"/>
                <w:lang w:val="en-US" w:eastAsia="zh-CN"/>
              </w:rPr>
              <w:t>C</w:t>
            </w:r>
            <w:r>
              <w:rPr>
                <w:rFonts w:hint="eastAsia" w:hAnsi="宋体"/>
                <w:bCs/>
                <w:sz w:val="18"/>
                <w:szCs w:val="18"/>
              </w:rPr>
              <w:t>】类份额）</w:t>
            </w:r>
          </w:p>
          <w:p>
            <w:pPr>
              <w:spacing w:line="360" w:lineRule="auto"/>
              <w:jc w:val="left"/>
              <w:rPr>
                <w:rFonts w:asciiTheme="majorEastAsia" w:hAnsiTheme="majorEastAsia" w:eastAsiaTheme="majorEastAsia"/>
                <w:bCs/>
                <w:sz w:val="18"/>
                <w:szCs w:val="18"/>
              </w:rPr>
            </w:pPr>
            <w:r>
              <w:rPr>
                <w:rFonts w:hint="eastAsia" w:asciiTheme="majorEastAsia" w:hAnsiTheme="majorEastAsia"/>
                <w:sz w:val="18"/>
              </w:rPr>
              <w:t>年化</w:t>
            </w:r>
            <w:r>
              <w:rPr>
                <w:rFonts w:hint="eastAsia" w:ascii="宋体" w:hAnsi="宋体"/>
                <w:bCs/>
                <w:sz w:val="18"/>
                <w:szCs w:val="18"/>
              </w:rPr>
              <w:t>【</w:t>
            </w:r>
            <w:r>
              <w:rPr>
                <w:rFonts w:hint="eastAsia" w:ascii="宋体" w:hAnsi="宋体"/>
                <w:bCs/>
                <w:sz w:val="18"/>
                <w:szCs w:val="18"/>
                <w:lang w:val="en-US" w:eastAsia="zh-CN"/>
              </w:rPr>
              <w:t>1.95</w:t>
            </w:r>
            <w:r>
              <w:rPr>
                <w:rFonts w:ascii="宋体" w:hAnsi="宋体"/>
                <w:bCs/>
                <w:sz w:val="18"/>
                <w:szCs w:val="18"/>
              </w:rPr>
              <w:t>-</w:t>
            </w:r>
            <w:r>
              <w:rPr>
                <w:rFonts w:hint="eastAsia" w:ascii="宋体" w:hAnsi="宋体"/>
                <w:bCs/>
                <w:sz w:val="18"/>
                <w:szCs w:val="18"/>
                <w:lang w:val="en-US" w:eastAsia="zh-CN"/>
              </w:rPr>
              <w:t>3.65</w:t>
            </w:r>
            <w:r>
              <w:rPr>
                <w:rFonts w:ascii="宋体" w:hAnsi="宋体"/>
                <w:bCs/>
                <w:sz w:val="18"/>
                <w:szCs w:val="18"/>
              </w:rPr>
              <w:t>】</w:t>
            </w:r>
            <w:r>
              <w:rPr>
                <w:rFonts w:hint="eastAsia" w:ascii="宋体" w:hAnsi="宋体"/>
                <w:bCs/>
                <w:sz w:val="18"/>
                <w:szCs w:val="18"/>
              </w:rPr>
              <w:t>%。</w:t>
            </w:r>
            <w:r>
              <w:rPr>
                <w:rFonts w:hint="eastAsia" w:hAnsi="宋体"/>
                <w:bCs/>
                <w:sz w:val="18"/>
                <w:szCs w:val="18"/>
              </w:rPr>
              <w:t>（适用【</w:t>
            </w:r>
            <w:r>
              <w:rPr>
                <w:rFonts w:hint="eastAsia" w:hAnsi="宋体"/>
                <w:bCs/>
                <w:sz w:val="18"/>
                <w:szCs w:val="18"/>
                <w:lang w:val="en-US" w:eastAsia="zh-CN"/>
              </w:rPr>
              <w:t>D</w:t>
            </w:r>
            <w:r>
              <w:rPr>
                <w:rFonts w:hint="eastAsia" w:hAnsi="宋体"/>
                <w:bCs/>
                <w:sz w:val="18"/>
                <w:szCs w:val="18"/>
              </w:rPr>
              <w:t>】类份额）</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产品管理人不设置业绩比较基准。</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2.业绩比较基准的提示：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w:t>
            </w:r>
            <w:r>
              <w:rPr>
                <w:rFonts w:hint="eastAsia"/>
                <w:sz w:val="18"/>
                <w:szCs w:val="18"/>
              </w:rPr>
              <w:t>★</w:t>
            </w:r>
            <w:r>
              <w:rPr>
                <w:rFonts w:hint="eastAsia"/>
                <w:b/>
                <w:sz w:val="18"/>
              </w:rPr>
              <w:t>业绩比较基准</w:t>
            </w:r>
            <w:r>
              <w:rPr>
                <w:rFonts w:hint="eastAsia"/>
                <w:b/>
                <w:bCs/>
                <w:sz w:val="18"/>
                <w:szCs w:val="18"/>
              </w:rPr>
              <w:t>不是预期收益率，</w:t>
            </w:r>
            <w:r>
              <w:rPr>
                <w:rFonts w:hint="eastAsia"/>
                <w:b/>
                <w:sz w:val="18"/>
              </w:rPr>
              <w:t>不代表产品</w:t>
            </w:r>
            <w:r>
              <w:rPr>
                <w:rFonts w:hint="eastAsia"/>
                <w:b/>
                <w:bCs/>
                <w:sz w:val="18"/>
                <w:szCs w:val="18"/>
              </w:rPr>
              <w:t>的</w:t>
            </w:r>
            <w:r>
              <w:rPr>
                <w:rFonts w:hint="eastAsia"/>
                <w:b/>
                <w:sz w:val="18"/>
              </w:rPr>
              <w:t>未来表现</w:t>
            </w:r>
            <w:r>
              <w:rPr>
                <w:rFonts w:hint="eastAsia"/>
                <w:b/>
                <w:bCs/>
                <w:sz w:val="18"/>
                <w:szCs w:val="18"/>
              </w:rPr>
              <w:t>和</w:t>
            </w:r>
            <w:r>
              <w:rPr>
                <w:rFonts w:hint="eastAsia"/>
                <w:b/>
                <w:sz w:val="18"/>
              </w:rPr>
              <w:t>实际收益，不</w:t>
            </w:r>
            <w:r>
              <w:rPr>
                <w:rFonts w:hint="eastAsia"/>
                <w:b/>
                <w:bCs/>
                <w:sz w:val="18"/>
                <w:szCs w:val="18"/>
              </w:rPr>
              <w:t>构成对</w:t>
            </w:r>
            <w:r>
              <w:rPr>
                <w:rFonts w:hint="eastAsia"/>
                <w:b/>
                <w:sz w:val="18"/>
              </w:rPr>
              <w:t>产品收益的</w:t>
            </w:r>
            <w:r>
              <w:rPr>
                <w:rFonts w:hint="eastAsia"/>
                <w:b/>
                <w:bCs/>
                <w:sz w:val="18"/>
                <w:szCs w:val="18"/>
              </w:rPr>
              <w:t>承诺</w:t>
            </w:r>
            <w:r>
              <w:rPr>
                <w:rFonts w:hint="eastAsia"/>
                <w:b/>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（适用【</w:t>
            </w:r>
            <w:r>
              <w:rPr>
                <w:rFonts w:hint="eastAsia" w:hAnsi="宋体"/>
                <w:bCs/>
                <w:sz w:val="18"/>
                <w:szCs w:val="18"/>
                <w:lang w:val="en-US" w:eastAsia="zh-CN"/>
              </w:rPr>
              <w:t>B/C/D</w:t>
            </w:r>
            <w:r>
              <w:rPr>
                <w:rFonts w:hint="eastAsia" w:hAnsi="宋体"/>
                <w:bCs/>
                <w:sz w:val="18"/>
                <w:szCs w:val="18"/>
              </w:rPr>
              <w:t>】类份额）</w:t>
            </w:r>
          </w:p>
          <w:p>
            <w:pPr>
              <w:spacing w:line="360" w:lineRule="auto"/>
              <w:jc w:val="left"/>
              <w:rPr>
                <w:rFonts w:ascii="宋体" w:hAnsi="宋体"/>
                <w:sz w:val="18"/>
              </w:rPr>
            </w:pPr>
            <w:r>
              <w:rPr>
                <w:rFonts w:ascii="宋体" w:hAnsi="宋体"/>
                <w:b/>
                <w:bCs/>
                <w:sz w:val="18"/>
                <w:szCs w:val="18"/>
              </w:rPr>
              <w:t>1.业绩报酬计提基准的设置</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
                <w:kern w:val="0"/>
                <w:sz w:val="18"/>
                <w:szCs w:val="18"/>
              </w:rPr>
              <w:t xml:space="preserve"> 产品管理人不设置业绩报酬计提基准。</w:t>
            </w:r>
          </w:p>
          <w:p>
            <w:pPr>
              <w:spacing w:line="360" w:lineRule="auto"/>
              <w:jc w:val="left"/>
              <w:rPr>
                <w:rFonts w:ascii="宋体" w:hAnsi="宋体"/>
                <w:b/>
                <w:bCs/>
                <w:sz w:val="18"/>
                <w:szCs w:val="18"/>
              </w:rPr>
            </w:pPr>
            <w:r>
              <w:rPr>
                <w:rFonts w:hint="eastAsia" w:ascii="宋体" w:hAnsi="宋体"/>
                <w:b/>
                <w:bCs/>
                <w:sz w:val="18"/>
                <w:szCs w:val="18"/>
              </w:rPr>
              <w:t>2</w:t>
            </w:r>
            <w:r>
              <w:rPr>
                <w:rFonts w:ascii="宋体" w:hAnsi="宋体"/>
                <w:b/>
                <w:bCs/>
                <w:sz w:val="18"/>
                <w:szCs w:val="18"/>
              </w:rPr>
              <w:t>.业绩报酬计提基准的提示</w:t>
            </w:r>
            <w:r>
              <w:rPr>
                <w:rFonts w:hint="eastAsia" w:ascii="宋体" w:hAnsi="宋体"/>
                <w:b/>
                <w:bCs/>
                <w:sz w:val="18"/>
                <w:szCs w:val="18"/>
              </w:rPr>
              <w:t>：</w:t>
            </w:r>
          </w:p>
          <w:p>
            <w:pPr>
              <w:autoSpaceDE w:val="0"/>
              <w:autoSpaceDN w:val="0"/>
              <w:adjustRightInd w:val="0"/>
              <w:spacing w:line="360" w:lineRule="auto"/>
              <w:jc w:val="left"/>
              <w:rPr>
                <w:rFonts w:ascii="宋体" w:hAnsi="宋体"/>
                <w:b/>
                <w:bCs/>
                <w:sz w:val="18"/>
                <w:szCs w:val="18"/>
              </w:rPr>
            </w:pPr>
            <w:r>
              <w:rPr>
                <w:rFonts w:hint="eastAsia" w:ascii="宋体" w:hAnsi="宋体"/>
                <w:b/>
                <w:bCs/>
                <w:sz w:val="18"/>
                <w:szCs w:val="18"/>
              </w:rPr>
              <w:t>（1）</w:t>
            </w:r>
            <w:r>
              <w:rPr>
                <w:rFonts w:hint="eastAsia"/>
                <w:sz w:val="18"/>
                <w:szCs w:val="18"/>
              </w:rPr>
              <w:t>★</w:t>
            </w:r>
            <w:r>
              <w:rPr>
                <w:rFonts w:hint="eastAsia" w:ascii="宋体" w:hAnsi="宋体"/>
                <w:b/>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B/C/D</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宋体" w:hAnsi="宋体"/>
                <w:b/>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1.</w:t>
            </w:r>
            <w:r>
              <w:rPr>
                <w:rFonts w:hint="eastAsia" w:ascii="宋体" w:hAnsi="宋体"/>
                <w:b/>
                <w:bCs/>
                <w:color w:val="000000" w:themeColor="text1"/>
                <w:sz w:val="18"/>
                <w:szCs w:val="18"/>
                <w14:textFill>
                  <w14:solidFill>
                    <w14:schemeClr w14:val="tx1"/>
                  </w14:solidFill>
                </w14:textFill>
              </w:rPr>
              <w:t>理财产品的费率标准</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（1）认购费：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（2）</w:t>
            </w:r>
            <w:r>
              <w:rPr>
                <w:rFonts w:ascii="宋体" w:hAnsi="宋体"/>
                <w:b/>
                <w:bCs/>
                <w:color w:val="000000" w:themeColor="text1"/>
                <w:sz w:val="18"/>
                <w:szCs w:val="18"/>
                <w14:textFill>
                  <w14:solidFill>
                    <w14:schemeClr w14:val="tx1"/>
                  </w14:solidFill>
                </w14:textFill>
              </w:rPr>
              <w:t>申购费：</w:t>
            </w:r>
            <w:r>
              <w:rPr>
                <w:rFonts w:hint="eastAsia" w:ascii="宋体" w:hAnsi="宋体"/>
                <w:bCs/>
                <w:color w:val="000000" w:themeColor="text1"/>
                <w:sz w:val="18"/>
                <w:szCs w:val="18"/>
                <w14:textFill>
                  <w14:solidFill>
                    <w14:schemeClr w14:val="tx1"/>
                  </w14:solidFill>
                </w14:textFill>
              </w:rPr>
              <w:t>【/】</w:t>
            </w:r>
            <w:r>
              <w:rPr>
                <w:rFonts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（3）赎回费：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Theme="majorEastAsia" w:hAnsiTheme="majorEastAsia" w:eastAsiaTheme="majorEastAsia"/>
                <w:b/>
                <w:bCs/>
                <w:color w:val="000000" w:themeColor="text1"/>
                <w:sz w:val="18"/>
                <w:szCs w:val="18"/>
                <w14:textFill>
                  <w14:solidFill>
                    <w14:schemeClr w14:val="tx1"/>
                  </w14:solidFill>
                </w14:textFill>
              </w:rPr>
              <w:t>（4）</w:t>
            </w:r>
            <w:r>
              <w:rPr>
                <w:rFonts w:asciiTheme="majorEastAsia" w:hAnsiTheme="majorEastAsia" w:eastAsiaTheme="majorEastAsia"/>
                <w:b/>
                <w:bCs/>
                <w:color w:val="000000" w:themeColor="text1"/>
                <w:sz w:val="18"/>
                <w:szCs w:val="18"/>
                <w14:textFill>
                  <w14:solidFill>
                    <w14:schemeClr w14:val="tx1"/>
                  </w14:solidFill>
                </w14:textFill>
              </w:rPr>
              <w:t>销售服</w:t>
            </w:r>
            <w:r>
              <w:rPr>
                <w:rFonts w:hint="eastAsia" w:ascii="宋体" w:hAnsi="宋体"/>
                <w:b/>
                <w:bCs/>
                <w:color w:val="000000" w:themeColor="text1"/>
                <w:sz w:val="18"/>
                <w:szCs w:val="18"/>
                <w14:textFill>
                  <w14:solidFill>
                    <w14:schemeClr w14:val="tx1"/>
                  </w14:solidFill>
                </w14:textFill>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（5）投资管理费：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w:t>
            </w:r>
            <w:r>
              <w:rPr>
                <w:rFonts w:asciiTheme="majorEastAsia" w:hAnsiTheme="majorEastAsia" w:eastAsiaTheme="majorEastAsia"/>
                <w:sz w:val="18"/>
                <w:szCs w:val="18"/>
              </w:rPr>
              <w:t>】</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bookmarkStart w:id="170" w:name="_GoBack"/>
            <w:bookmarkEnd w:id="170"/>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（6）产品托管费：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【0.03</w:t>
            </w:r>
            <w:r>
              <w:rPr>
                <w:rFonts w:asciiTheme="majorEastAsia" w:hAnsiTheme="majorEastAsia" w:eastAsiaTheme="majorEastAsia"/>
                <w:sz w:val="18"/>
                <w:szCs w:val="18"/>
              </w:rPr>
              <w:t>】</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widowControl/>
              <w:spacing w:line="360" w:lineRule="auto"/>
              <w:jc w:val="left"/>
              <w:rPr>
                <w:rFonts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（7）超额业绩报酬：</w:t>
            </w:r>
          </w:p>
          <w:p>
            <w:pPr>
              <w:widowControl/>
              <w:spacing w:line="360" w:lineRule="auto"/>
              <w:jc w:val="left"/>
              <w:rPr>
                <w:rFonts w:ascii="宋体" w:hAnsi="宋体"/>
                <w:sz w:val="18"/>
                <w:szCs w:val="18"/>
              </w:rPr>
            </w:pPr>
            <w:r>
              <w:rPr>
                <w:rFonts w:hint="eastAsia" w:ascii="宋体" w:hAnsi="宋体"/>
                <w:sz w:val="18"/>
                <w:szCs w:val="18"/>
              </w:rPr>
              <w:t>无。</w:t>
            </w:r>
          </w:p>
          <w:p>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2"/>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6" w:name="_Toc4403"/>
      <w:bookmarkStart w:id="7" w:name="_Toc79154666"/>
      <w:bookmarkStart w:id="8" w:name="_Toc92377132"/>
      <w:r>
        <w:rPr>
          <w:rFonts w:ascii="Times New Roman"/>
          <w:sz w:val="30"/>
        </w:rPr>
        <w:t>第</w:t>
      </w:r>
      <w:r>
        <w:rPr>
          <w:rFonts w:hint="eastAsia" w:ascii="Times New Roman"/>
          <w:sz w:val="30"/>
        </w:rPr>
        <w:t>三条</w:t>
      </w:r>
      <w:r>
        <w:rPr>
          <w:rFonts w:ascii="Times New Roman"/>
          <w:sz w:val="30"/>
        </w:rPr>
        <w:t xml:space="preserve">  </w:t>
      </w:r>
      <w:bookmarkStart w:id="9" w:name="_Toc79392573"/>
      <w:r>
        <w:rPr>
          <w:rFonts w:hint="eastAsia" w:ascii="Times New Roman"/>
          <w:sz w:val="30"/>
        </w:rPr>
        <w:t>理财产品的认购</w:t>
      </w:r>
      <w:bookmarkEnd w:id="6"/>
      <w:bookmarkEnd w:id="7"/>
      <w:bookmarkEnd w:id="8"/>
    </w:p>
    <w:p>
      <w:pPr>
        <w:spacing w:line="360" w:lineRule="auto"/>
        <w:ind w:firstLine="361" w:firstLineChars="200"/>
        <w:rPr>
          <w:rFonts w:asciiTheme="minorEastAsia" w:hAnsiTheme="minorEastAsia"/>
          <w:b/>
          <w:bCs/>
          <w:sz w:val="18"/>
          <w:szCs w:val="18"/>
        </w:rPr>
      </w:pPr>
      <w:bookmarkStart w:id="10" w:name="_Hlt88031774"/>
      <w:bookmarkEnd w:id="10"/>
      <w:bookmarkStart w:id="11"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12" w:name="_Toc79154667"/>
      <w:bookmarkStart w:id="13" w:name="_Toc6529"/>
      <w:bookmarkStart w:id="14" w:name="_Toc92377133"/>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2"/>
      <w:bookmarkEnd w:id="13"/>
      <w:bookmarkEnd w:id="14"/>
    </w:p>
    <w:bookmarkEnd w:id="11"/>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ajorEastAsia" w:hAnsiTheme="majorEastAsia" w:eastAsiaTheme="majorEastAsia"/>
          <w:bCs/>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9"/>
    <w:p>
      <w:pPr>
        <w:pStyle w:val="2"/>
        <w:spacing w:before="0" w:after="0" w:line="360" w:lineRule="auto"/>
        <w:jc w:val="center"/>
        <w:rPr>
          <w:rFonts w:ascii="Times New Roman"/>
          <w:sz w:val="30"/>
        </w:rPr>
      </w:pPr>
      <w:bookmarkStart w:id="15" w:name="_Toc92377134"/>
      <w:bookmarkStart w:id="16" w:name="_Toc27189"/>
      <w:bookmarkStart w:id="17" w:name="_Toc79154668"/>
      <w:bookmarkStart w:id="18" w:name="_Toc12517"/>
      <w:bookmarkStart w:id="19" w:name="_Toc90742390"/>
      <w:bookmarkStart w:id="20" w:name="_Toc22074"/>
      <w:bookmarkStart w:id="21" w:name="_Toc74065741"/>
      <w:bookmarkStart w:id="22" w:name="_Toc6714"/>
      <w:bookmarkStart w:id="23" w:name="_Toc90742321"/>
      <w:bookmarkStart w:id="24" w:name="_Toc29784"/>
      <w:bookmarkStart w:id="25" w:name="_Toc27226"/>
      <w:bookmarkStart w:id="26" w:name="_Toc7151"/>
      <w:bookmarkStart w:id="27" w:name="_Toc90742688"/>
      <w:bookmarkStart w:id="28" w:name="_Toc3266"/>
      <w:bookmarkStart w:id="29" w:name="_Toc15203"/>
      <w:bookmarkStart w:id="30" w:name="_Toc29948"/>
      <w:bookmarkStart w:id="31" w:name="_Toc16265"/>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3" w:edGrp="everyone"/>
      <w:r>
        <w:rPr>
          <w:rFonts w:hint="eastAsia" w:asciiTheme="majorEastAsia" w:hAnsiTheme="majorEastAsia" w:eastAsiaTheme="majorEastAsia"/>
          <w:bCs/>
          <w:color w:val="auto"/>
          <w:sz w:val="18"/>
          <w:szCs w:val="18"/>
        </w:rPr>
        <w:t>【</w:t>
      </w:r>
      <w:r>
        <w:rPr>
          <w:rFonts w:hint="eastAsia" w:asciiTheme="majorEastAsia" w:hAnsiTheme="majorEastAsia" w:eastAsiaTheme="majorEastAsia"/>
          <w:color w:val="auto"/>
          <w:sz w:val="18"/>
          <w:szCs w:val="18"/>
        </w:rPr>
        <w:t>在严格控制组合风险的前提下，通过不断优化组合，力争实现超越业绩比较基准的收益。</w:t>
      </w:r>
      <w:r>
        <w:rPr>
          <w:rFonts w:hint="eastAsia" w:asciiTheme="majorEastAsia" w:hAnsiTheme="majorEastAsia" w:eastAsiaTheme="majorEastAsia"/>
          <w:bCs/>
          <w:color w:val="auto"/>
          <w:sz w:val="18"/>
          <w:szCs w:val="18"/>
        </w:rPr>
        <w:t>】</w:t>
      </w:r>
    </w:p>
    <w:permEnd w:id="13"/>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permStart w:id="14" w:edGrp="everyone"/>
      <w:r>
        <w:rPr>
          <w:rFonts w:hint="eastAsia" w:asciiTheme="majorEastAsia" w:hAnsiTheme="majorEastAsia" w:eastAsiaTheme="majorEastAsia"/>
          <w:bCs/>
          <w:kern w:val="0"/>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ermEnd w:id="14"/>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permStart w:id="15" w:edGrp="everyone"/>
      <w:r>
        <w:rPr>
          <w:rFonts w:hint="eastAsia" w:asciiTheme="majorEastAsia" w:hAnsiTheme="majorEastAsia" w:eastAsiaTheme="majorEastAsia"/>
          <w:bCs/>
          <w:kern w:val="0"/>
          <w:sz w:val="18"/>
          <w:szCs w:val="18"/>
        </w:rPr>
        <w:t>本产品投资于债权类资产的比例不低于产品总资产的80%。</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兴银理财产品管理人应当自产品成立日起【3】个月内使产品的投资组合比例符合产品说明书的有关约定，上述期间内，本产品的投资范围、投资策略应当符合产品说明书的约定。</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非因管理人主观因素导致突破前述比例限制的，管理人应当在流动性受限资产可出售、可转让或者恢复交易的10个交易日内将理财产品投资比例调整至符合要求，监管机构规定的特殊情形除外。</w:t>
      </w:r>
    </w:p>
    <w:permEnd w:id="15"/>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6"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6"/>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spacing w:line="360" w:lineRule="auto"/>
        <w:ind w:firstLine="360" w:firstLineChars="200"/>
        <w:rPr>
          <w:rFonts w:hint="eastAsia" w:asciiTheme="majorEastAsia" w:hAnsiTheme="majorEastAsia" w:eastAsiaTheme="majorEastAsia"/>
          <w:bCs/>
          <w:color w:val="auto"/>
          <w:sz w:val="18"/>
          <w:szCs w:val="18"/>
        </w:rPr>
      </w:pPr>
      <w:permStart w:id="17" w:edGrp="everyone"/>
      <w:r>
        <w:rPr>
          <w:rFonts w:hint="eastAsia" w:asciiTheme="majorEastAsia" w:hAnsiTheme="majorEastAsia" w:eastAsiaTheme="majorEastAsia"/>
          <w:bCs/>
          <w:color w:val="auto"/>
          <w:sz w:val="18"/>
          <w:szCs w:val="18"/>
        </w:rPr>
        <w:t>（1）每只公募理财产品投资单只证券或者单只公募证券投资基金的市值不得超过该理财产品净资产的10%。</w:t>
      </w:r>
    </w:p>
    <w:p>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（3）全部理财产品持有单一上市公司发行的股票，不得超过该上市公司可流通股票的30%。</w:t>
      </w:r>
    </w:p>
    <w:p>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（4）全部开放式公募理财产品投资单一上市公司发行的股票不得超过该上市公司可流通股票的15%。</w:t>
      </w:r>
    </w:p>
    <w:p>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面向单一投资者发行的私募理财产品可不受前款比例限制。</w:t>
      </w:r>
    </w:p>
    <w:p>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 xml:space="preserve">（7）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面向单一投资者发行的私募理财产品可不受本条规定限制。</w:t>
      </w:r>
    </w:p>
    <w:p>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（8）本产品因为流动性需要可开展存单质押、债券正回购等融资业务，本产品总资产不超过净资产的140%。</w:t>
      </w:r>
    </w:p>
    <w:p>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非因管理人主观因素导致突破前述比例限制的，管理人应当在流动性受限资产可出售、可转让或者恢复交易的10个交易日内调整至符合要求，国务院银行业监督管理机构规定的特殊情形除外。</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color w:val="auto"/>
          <w:sz w:val="18"/>
          <w:szCs w:val="18"/>
        </w:rPr>
        <w:t>理财产品投资于国债、地方政府债券、中央银行票据、政府机构债券、政策性金融债券以及完全按照有关指数的构成比例进行投资的除外。若后续监管对于集中度及流动性管理要求有新要求，按照监管要求执行</w:t>
      </w:r>
      <w:r>
        <w:rPr>
          <w:rFonts w:hint="eastAsia" w:asciiTheme="majorEastAsia" w:hAnsiTheme="majorEastAsia" w:eastAsiaTheme="majorEastAsia"/>
          <w:bCs/>
          <w:kern w:val="0"/>
          <w:sz w:val="18"/>
          <w:szCs w:val="18"/>
        </w:rPr>
        <w:t>。</w:t>
      </w:r>
    </w:p>
    <w:permEnd w:id="17"/>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permStart w:id="18"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ermEnd w:id="18"/>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32" w:name="_Toc27967"/>
      <w:bookmarkStart w:id="33" w:name="_Toc92377135"/>
      <w:bookmarkStart w:id="34" w:name="_Toc141703885"/>
      <w:bookmarkStart w:id="35" w:name="_Toc21988"/>
      <w:bookmarkStart w:id="36" w:name="_Toc18329"/>
      <w:bookmarkStart w:id="37" w:name="_Toc26986"/>
      <w:bookmarkStart w:id="38" w:name="_Toc139991735"/>
      <w:bookmarkStart w:id="39" w:name="_Toc17912"/>
      <w:bookmarkStart w:id="40" w:name="_Toc7848"/>
      <w:bookmarkStart w:id="41" w:name="_Toc1823"/>
      <w:bookmarkStart w:id="42" w:name="_Toc18526"/>
      <w:bookmarkStart w:id="43" w:name="_Toc4741"/>
      <w:bookmarkStart w:id="44" w:name="_Toc79154669"/>
      <w:bookmarkStart w:id="45" w:name="_Toc18797"/>
      <w:bookmarkStart w:id="46" w:name="_Toc14893"/>
      <w:bookmarkStart w:id="47" w:name="_Toc74065742"/>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pPr>
        <w:pStyle w:val="34"/>
        <w:spacing w:line="360" w:lineRule="auto"/>
        <w:ind w:firstLine="361" w:firstLineChars="200"/>
        <w:rPr>
          <w:rFonts w:asciiTheme="majorEastAsia" w:hAnsiTheme="majorEastAsia" w:eastAsiaTheme="majorEastAsia"/>
          <w:b/>
          <w:color w:val="auto"/>
          <w:sz w:val="18"/>
          <w:szCs w:val="18"/>
        </w:rPr>
      </w:pPr>
      <w:bookmarkStart w:id="48"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48"/>
    <w:p>
      <w:pPr>
        <w:pStyle w:val="2"/>
        <w:spacing w:before="0" w:after="0" w:line="360" w:lineRule="auto"/>
        <w:jc w:val="center"/>
        <w:rPr>
          <w:rFonts w:ascii="Times New Roman"/>
          <w:sz w:val="28"/>
          <w:szCs w:val="28"/>
        </w:rPr>
      </w:pPr>
      <w:bookmarkStart w:id="49" w:name="_Toc13903"/>
      <w:bookmarkStart w:id="50" w:name="_Toc92377136"/>
      <w:bookmarkStart w:id="51" w:name="_Toc83391971"/>
      <w:bookmarkStart w:id="52" w:name="_Toc123102453"/>
      <w:bookmarkStart w:id="53" w:name="_Toc17244"/>
      <w:bookmarkStart w:id="54" w:name="_Toc123051452"/>
      <w:bookmarkStart w:id="55" w:name="_Toc610"/>
      <w:bookmarkStart w:id="56" w:name="_Toc10463"/>
      <w:bookmarkStart w:id="57" w:name="_Toc23261"/>
      <w:bookmarkStart w:id="58" w:name="_Toc141703886"/>
      <w:bookmarkStart w:id="59" w:name="_Toc7920"/>
      <w:bookmarkStart w:id="60" w:name="_Toc98560352"/>
      <w:bookmarkStart w:id="61" w:name="_Toc48649707"/>
      <w:bookmarkStart w:id="62" w:name="_Toc23822"/>
      <w:bookmarkStart w:id="63" w:name="_Toc1270"/>
      <w:bookmarkStart w:id="64" w:name="_Toc74065743"/>
      <w:bookmarkStart w:id="65" w:name="_Toc4003"/>
      <w:bookmarkStart w:id="66" w:name="_Toc123112234"/>
      <w:bookmarkStart w:id="67" w:name="_Toc79392606"/>
      <w:bookmarkStart w:id="68" w:name="_Toc1427"/>
      <w:bookmarkStart w:id="69" w:name="_Toc20733"/>
      <w:bookmarkStart w:id="70" w:name="_Toc139991736"/>
      <w:bookmarkStart w:id="71" w:name="_Toc79154670"/>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49"/>
      <w:bookmarkEnd w:id="50"/>
      <w:bookmarkEnd w:id="51"/>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permStart w:id="19" w:edGrp="everyone"/>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，每个【工作日】进行一次估值</w:t>
      </w:r>
      <w:r>
        <w:rPr>
          <w:rFonts w:hint="eastAsia" w:asciiTheme="minorEastAsia" w:hAnsiTheme="minorEastAsia" w:eastAsiaTheme="minorEastAsia"/>
          <w:color w:val="2E3033"/>
          <w:sz w:val="18"/>
          <w:szCs w:val="18"/>
        </w:rPr>
        <w:t>。</w:t>
      </w:r>
    </w:p>
    <w:permEnd w:id="19"/>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3.非标准化债权类资产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4.上市公司股票</w:t>
      </w:r>
      <w:r>
        <w:rPr>
          <w:rFonts w:hint="eastAsia" w:asciiTheme="majorEastAsia" w:hAnsiTheme="majorEastAsia" w:eastAsiaTheme="majorEastAsia"/>
          <w:b/>
          <w:bCs/>
          <w:color w:val="auto"/>
          <w:sz w:val="18"/>
          <w:szCs w:val="18"/>
        </w:rPr>
        <w:t>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5.未上市公司股权</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优先股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证券投资基金估值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其他资产管理产品的估值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9.衍生金融工具估值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10.</w:t>
      </w:r>
      <w:r>
        <w:rPr>
          <w:rFonts w:hint="eastAsia" w:asciiTheme="minorEastAsia" w:hAnsiTheme="minorEastAsia" w:eastAsiaTheme="minorEastAsia"/>
          <w:b/>
          <w:color w:val="auto"/>
          <w:sz w:val="18"/>
          <w:szCs w:val="18"/>
        </w:rPr>
        <w:t>存款、拆借、回购等货币市场工具的估值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w:t>
      </w:r>
      <w:r>
        <w:rPr>
          <w:rFonts w:hint="eastAsia"/>
        </w:rPr>
        <w:t xml:space="preserve"> </w:t>
      </w:r>
      <w:r>
        <w:rPr>
          <w:rFonts w:hint="eastAsia" w:asciiTheme="minorEastAsia" w:hAnsiTheme="minorEastAsia" w:eastAsiaTheme="minorEastAsia"/>
          <w:color w:val="auto"/>
          <w:sz w:val="18"/>
          <w:szCs w:val="18"/>
        </w:rPr>
        <w:t>当开放式公募理财产品（现金管理类理财产品除外）遭遇大额申购或赎回时，管理人可以采用摆动定价机制，以确保估值的公平性。具体操作按照相关法律法规、监管规定和自律规则执行。</w:t>
      </w:r>
    </w:p>
    <w:p>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Pr>
        <w:pStyle w:val="2"/>
        <w:spacing w:before="0" w:after="0" w:line="360" w:lineRule="auto"/>
        <w:ind w:left="60" w:firstLine="10"/>
        <w:jc w:val="center"/>
        <w:rPr>
          <w:rFonts w:ascii="Times New Roman"/>
          <w:sz w:val="30"/>
        </w:rPr>
      </w:pPr>
      <w:bookmarkStart w:id="72" w:name="_Hlt70481650"/>
      <w:bookmarkEnd w:id="72"/>
      <w:bookmarkStart w:id="73" w:name="_Toc3601"/>
      <w:bookmarkStart w:id="74" w:name="_Toc123051453"/>
      <w:bookmarkStart w:id="75" w:name="_Toc98560353"/>
      <w:bookmarkStart w:id="76" w:name="_Toc26207"/>
      <w:bookmarkStart w:id="77" w:name="_Toc141703887"/>
      <w:bookmarkStart w:id="78" w:name="_Toc15143"/>
      <w:bookmarkStart w:id="79" w:name="_Toc74065744"/>
      <w:bookmarkStart w:id="80" w:name="_Toc31235"/>
      <w:bookmarkStart w:id="81" w:name="_Toc31644"/>
      <w:bookmarkStart w:id="82" w:name="_Toc92377137"/>
      <w:bookmarkStart w:id="83" w:name="_Toc29251"/>
      <w:bookmarkStart w:id="84" w:name="_Toc6405"/>
      <w:bookmarkStart w:id="85" w:name="_Toc14835"/>
      <w:bookmarkStart w:id="86" w:name="_Toc12245"/>
      <w:bookmarkStart w:id="87" w:name="_Toc139991737"/>
      <w:bookmarkStart w:id="88" w:name="_Toc79154671"/>
      <w:bookmarkStart w:id="89" w:name="_Toc123102454"/>
      <w:bookmarkStart w:id="90" w:name="_Toc4020"/>
      <w:bookmarkStart w:id="91" w:name="_Toc123112235"/>
      <w:bookmarkStart w:id="92" w:name="_Toc31653"/>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Start w:id="93" w:name="_Hlt55355235"/>
      <w:bookmarkEnd w:id="93"/>
      <w:bookmarkStart w:id="94" w:name="_Toc523711668"/>
      <w:bookmarkStart w:id="95" w:name="_Toc15118234"/>
      <w:bookmarkStart w:id="96" w:name="_Toc79392580"/>
      <w:bookmarkStart w:id="97" w:name="_Toc57530239"/>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1" w:firstLineChars="200"/>
        <w:rPr>
          <w:rFonts w:hAnsi="宋体"/>
          <w:b/>
          <w:bCs/>
          <w:color w:val="auto"/>
          <w:sz w:val="18"/>
          <w:szCs w:val="18"/>
        </w:rPr>
      </w:pPr>
      <w:permStart w:id="20" w:edGrp="everyone"/>
      <w:r>
        <w:rPr>
          <w:rFonts w:hint="eastAsia" w:hAnsi="宋体"/>
          <w:b/>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0"/>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1"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1"/>
    <w:p>
      <w:pPr>
        <w:widowControl/>
        <w:spacing w:line="360" w:lineRule="auto"/>
        <w:jc w:val="left"/>
        <w:rPr>
          <w:rFonts w:ascii="宋体" w:hAnsi="宋体"/>
          <w:kern w:val="0"/>
          <w:sz w:val="18"/>
          <w:szCs w:val="18"/>
        </w:rPr>
      </w:pPr>
      <w:r>
        <w:rPr>
          <w:rFonts w:hAnsi="宋体"/>
          <w:sz w:val="18"/>
          <w:szCs w:val="18"/>
        </w:rPr>
        <w:br w:type="page"/>
      </w:r>
    </w:p>
    <w:bookmarkEnd w:id="94"/>
    <w:bookmarkEnd w:id="95"/>
    <w:bookmarkEnd w:id="96"/>
    <w:bookmarkEnd w:id="97"/>
    <w:p>
      <w:pPr>
        <w:pStyle w:val="2"/>
        <w:spacing w:before="0" w:after="0" w:line="360" w:lineRule="auto"/>
        <w:jc w:val="center"/>
        <w:rPr>
          <w:rFonts w:ascii="Times New Roman"/>
          <w:sz w:val="30"/>
        </w:rPr>
      </w:pPr>
      <w:bookmarkStart w:id="98" w:name="_Hlt88897298"/>
      <w:bookmarkEnd w:id="98"/>
      <w:bookmarkStart w:id="99" w:name="_Hlt88825574"/>
      <w:bookmarkEnd w:id="99"/>
      <w:bookmarkStart w:id="100" w:name="_Toc18567"/>
      <w:bookmarkStart w:id="101" w:name="_Toc7058"/>
      <w:bookmarkStart w:id="102" w:name="_Toc3771"/>
      <w:bookmarkStart w:id="103" w:name="_Toc92377138"/>
      <w:bookmarkStart w:id="104" w:name="_Toc6447"/>
      <w:bookmarkStart w:id="105" w:name="_Toc123112236"/>
      <w:bookmarkStart w:id="106" w:name="_Toc79154672"/>
      <w:bookmarkStart w:id="107" w:name="_Toc11030"/>
      <w:bookmarkStart w:id="108" w:name="_Toc10650"/>
      <w:bookmarkStart w:id="109" w:name="_Toc74065745"/>
      <w:bookmarkStart w:id="110" w:name="_Toc3321"/>
      <w:bookmarkStart w:id="111" w:name="_Toc141703888"/>
      <w:bookmarkStart w:id="112" w:name="_Toc9706"/>
      <w:bookmarkStart w:id="113" w:name="_Toc6394"/>
      <w:bookmarkStart w:id="114" w:name="_Toc139991738"/>
      <w:bookmarkStart w:id="115" w:name="_Toc79392583"/>
      <w:bookmarkStart w:id="116" w:name="_Toc123051454"/>
      <w:bookmarkStart w:id="117" w:name="_Toc123102455"/>
      <w:bookmarkStart w:id="118" w:name="_Toc98560354"/>
      <w:bookmarkStart w:id="119" w:name="_Toc25783"/>
      <w:bookmarkStart w:id="120" w:name="_Toc4559"/>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permStart w:id="22" w:edGrp="everyone"/>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ermEnd w:id="22"/>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21" w:name="_Toc3963"/>
      <w:bookmarkStart w:id="122" w:name="_Toc1745"/>
      <w:r>
        <w:br w:type="page"/>
      </w:r>
      <w:bookmarkStart w:id="123" w:name="_Toc98560355"/>
      <w:bookmarkStart w:id="124" w:name="_Toc3080"/>
      <w:bookmarkStart w:id="125" w:name="_Toc31821"/>
      <w:bookmarkStart w:id="126" w:name="_Toc3572"/>
      <w:bookmarkStart w:id="127" w:name="_Toc123051455"/>
      <w:bookmarkStart w:id="128" w:name="_Toc16164"/>
      <w:bookmarkStart w:id="129" w:name="_Toc141703889"/>
      <w:bookmarkStart w:id="130" w:name="_Toc123102456"/>
      <w:bookmarkStart w:id="131" w:name="_Toc139991739"/>
      <w:bookmarkStart w:id="132" w:name="_Toc18206"/>
      <w:bookmarkStart w:id="133" w:name="_Toc74065746"/>
      <w:bookmarkStart w:id="134" w:name="_Toc25397"/>
      <w:bookmarkStart w:id="135" w:name="_Toc725"/>
      <w:bookmarkStart w:id="136" w:name="_Toc123112237"/>
      <w:bookmarkStart w:id="137" w:name="_Toc21735"/>
      <w:bookmarkStart w:id="138" w:name="_Toc92377139"/>
      <w:bookmarkStart w:id="139" w:name="_Toc10398"/>
      <w:bookmarkStart w:id="140" w:name="_Toc79154673"/>
      <w:r>
        <w:rPr>
          <w:rFonts w:hint="eastAsia"/>
          <w:sz w:val="30"/>
        </w:rPr>
        <w:t>第十条</w:t>
      </w:r>
      <w:r>
        <w:rPr>
          <w:sz w:val="30"/>
        </w:rPr>
        <w:t xml:space="preserve">  </w:t>
      </w:r>
      <w:r>
        <w:rPr>
          <w:rFonts w:hint="eastAsia"/>
          <w:sz w:val="30"/>
        </w:rPr>
        <w:t>理财产品的终止与清算</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pPr>
        <w:spacing w:line="360" w:lineRule="auto"/>
        <w:ind w:firstLine="361" w:firstLineChars="200"/>
        <w:rPr>
          <w:rFonts w:asciiTheme="majorEastAsia" w:hAnsiTheme="majorEastAsia" w:eastAsiaTheme="majorEastAsia"/>
          <w:b/>
          <w:bCs/>
          <w:sz w:val="18"/>
          <w:szCs w:val="18"/>
        </w:rPr>
      </w:pPr>
      <w:bookmarkStart w:id="141" w:name="_Toc15118245"/>
      <w:bookmarkStart w:id="142" w:name="_Toc57530252"/>
      <w:bookmarkStart w:id="143" w:name="_Toc79392593"/>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或延期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部分提前终止的利益分配：产品管理人将依照销售文件公布部分提前终止日并指定利益分配日（一般为部分提前终止日之后的【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141"/>
    <w:bookmarkEnd w:id="142"/>
    <w:bookmarkEnd w:id="143"/>
    <w:p>
      <w:pPr>
        <w:pStyle w:val="2"/>
        <w:spacing w:before="0" w:after="0" w:line="360" w:lineRule="auto"/>
        <w:jc w:val="center"/>
        <w:rPr>
          <w:rFonts w:ascii="Times New Roman"/>
          <w:sz w:val="18"/>
          <w:szCs w:val="18"/>
        </w:rPr>
      </w:pPr>
      <w:r>
        <w:rPr>
          <w:rFonts w:ascii="Times New Roman"/>
          <w:b w:val="0"/>
          <w:bCs w:val="0"/>
          <w:kern w:val="2"/>
        </w:rPr>
        <w:br w:type="page"/>
      </w:r>
      <w:bookmarkStart w:id="144" w:name="_Toc92377140"/>
      <w:bookmarkStart w:id="145" w:name="_Toc7953"/>
      <w:bookmarkStart w:id="146" w:name="_Toc123051456"/>
      <w:bookmarkStart w:id="147" w:name="_Toc123112238"/>
      <w:bookmarkStart w:id="148" w:name="_Toc98560356"/>
      <w:bookmarkStart w:id="149" w:name="_Toc5170"/>
      <w:bookmarkStart w:id="150" w:name="_Toc139991740"/>
      <w:bookmarkStart w:id="151" w:name="_Toc739"/>
      <w:bookmarkStart w:id="152" w:name="_Toc8791"/>
      <w:bookmarkStart w:id="153" w:name="_Toc29408"/>
      <w:bookmarkStart w:id="154" w:name="_Toc74065747"/>
      <w:bookmarkStart w:id="155" w:name="_Toc79154674"/>
      <w:bookmarkStart w:id="156" w:name="_Toc21237"/>
      <w:bookmarkStart w:id="157" w:name="_Toc3329"/>
      <w:bookmarkStart w:id="158" w:name="_Toc48649708"/>
      <w:bookmarkStart w:id="159" w:name="_Toc17198"/>
      <w:bookmarkStart w:id="160" w:name="_Toc79392622"/>
      <w:bookmarkStart w:id="161" w:name="_Toc123102457"/>
      <w:bookmarkStart w:id="162" w:name="_Toc83391975"/>
      <w:bookmarkStart w:id="163" w:name="_Toc17920"/>
      <w:bookmarkStart w:id="164" w:name="_Toc141703890"/>
      <w:bookmarkStart w:id="165" w:name="_Toc32092"/>
      <w:bookmarkStart w:id="166" w:name="_Toc32584"/>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44"/>
      <w:bookmarkEnd w:id="145"/>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permStart w:id="23"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期间，每个【工作日】向投资者披露一次估值日公告，估值日公告披露的内容包括估值日的产品份额净值、产品份额累计净值等。如遇法定节假日顺延。此外，如遇其他特殊情况，以产品管理人信息披露为准。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ermEnd w:id="23"/>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
          <w:bCs/>
          <w:sz w:val="18"/>
          <w:szCs w:val="18"/>
        </w:rPr>
        <w:t>并提前2个工作日进行</w:t>
      </w:r>
      <w:r>
        <w:rPr>
          <w:rFonts w:hint="eastAsia" w:ascii="黑体" w:hAnsi="黑体" w:eastAsia="黑体"/>
          <w:b/>
          <w:bCs/>
          <w:sz w:val="18"/>
          <w:szCs w:val="18"/>
        </w:rPr>
        <w:t>公告。若投资者未选择退出本产品的，则视为已理解并接受管理人的相应变更。</w:t>
      </w:r>
    </w:p>
    <w:p>
      <w:pPr>
        <w:spacing w:line="360" w:lineRule="auto"/>
        <w:ind w:firstLine="480" w:firstLineChars="200"/>
        <w:rPr>
          <w:bCs/>
          <w:sz w:val="24"/>
        </w:rPr>
      </w:pPr>
      <w:r>
        <w:rPr>
          <w:sz w:val="24"/>
        </w:rPr>
        <w:br w:type="page"/>
      </w:r>
    </w:p>
    <w:p>
      <w:pPr>
        <w:pStyle w:val="2"/>
        <w:spacing w:before="0" w:after="0" w:line="360" w:lineRule="auto"/>
        <w:jc w:val="center"/>
        <w:rPr>
          <w:rFonts w:ascii="Times New Roman"/>
          <w:b w:val="0"/>
          <w:sz w:val="30"/>
        </w:rPr>
      </w:pPr>
      <w:bookmarkStart w:id="167" w:name="_Toc30149"/>
      <w:bookmarkStart w:id="168" w:name="_Toc92377141"/>
      <w:bookmarkStart w:id="169" w:name="_Toc79154675"/>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67"/>
      <w:bookmarkEnd w:id="168"/>
      <w:bookmarkEnd w:id="169"/>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24"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60" w:lineRule="auto"/>
        <w:ind w:firstLine="360" w:firstLineChars="200"/>
        <w:rPr>
          <w:rFonts w:ascii="宋体" w:hAnsi="宋体"/>
          <w:sz w:val="18"/>
          <w:szCs w:val="18"/>
        </w:rPr>
      </w:pPr>
      <w:r>
        <w:rPr>
          <w:rFonts w:hint="eastAsia" w:ascii="宋体" w:hAnsi="宋体"/>
          <w:sz w:val="18"/>
          <w:szCs w:val="18"/>
        </w:rPr>
        <w:t>】</w:t>
      </w:r>
    </w:p>
    <w:permEnd w:id="24"/>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11</w:t>
        </w:r>
        <w:r>
          <w:fldChar w:fldCharType="end"/>
        </w:r>
      </w:p>
    </w:sdtContent>
  </w:sdt>
  <w:p>
    <w:pPr>
      <w:pStyle w:val="8"/>
      <w:jc w:val="both"/>
      <w:rPr>
        <w:rFonts w:ascii="黑体" w:hAnsi="黑体" w:eastAsia="黑体"/>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15"/>
      <w:pBdr>
        <w:bottom w:val="none" w:color="auto" w:sz="0" w:space="0"/>
      </w:pBdr>
      <w:jc w:val="right"/>
      <w:rPr>
        <w:rFonts w:ascii="Times New Roman" w:hAnsi="Times New Roman" w:cs="Times New Roman"/>
        <w:b/>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0"/>
  <w:bordersDoNotSurroundHeader w:val="1"/>
  <w:bordersDoNotSurroundFooter w:val="1"/>
  <w:documentProtection w:edit="readOnly" w:enforcement="1" w:cryptProviderType="rsaAES" w:cryptAlgorithmClass="hash" w:cryptAlgorithmType="typeAny" w:cryptAlgorithmSid="14" w:cryptSpinCount="100000" w:hash="QVVWQ4j5kyOX9VCeHVBuDgtMMtTVeiJLZM3kg585ZESUwb2Qhrdvsw/mIxrJKGp9eckyN6igntBZRLJByseSjw==" w:salt="ANTHfFkYH5iERfV/TAyo3w=="/>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77CD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4391"/>
    <w:rsid w:val="000B6819"/>
    <w:rsid w:val="000B7F67"/>
    <w:rsid w:val="000C31AC"/>
    <w:rsid w:val="000C3B81"/>
    <w:rsid w:val="000C69CB"/>
    <w:rsid w:val="000C6BF4"/>
    <w:rsid w:val="000C7C96"/>
    <w:rsid w:val="000D0C3A"/>
    <w:rsid w:val="000D10B1"/>
    <w:rsid w:val="000D1473"/>
    <w:rsid w:val="000D19CF"/>
    <w:rsid w:val="000D1A89"/>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6919"/>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5F68"/>
    <w:rsid w:val="00176589"/>
    <w:rsid w:val="00176C88"/>
    <w:rsid w:val="0017731A"/>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3A0C"/>
    <w:rsid w:val="001B5BBB"/>
    <w:rsid w:val="001C247A"/>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2F98"/>
    <w:rsid w:val="001D3E8B"/>
    <w:rsid w:val="001D4AC9"/>
    <w:rsid w:val="001D4BC1"/>
    <w:rsid w:val="001D570A"/>
    <w:rsid w:val="001D688E"/>
    <w:rsid w:val="001D760B"/>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42CDB"/>
    <w:rsid w:val="0024357F"/>
    <w:rsid w:val="0024456C"/>
    <w:rsid w:val="0024625D"/>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3464"/>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156D"/>
    <w:rsid w:val="003122D5"/>
    <w:rsid w:val="00313E17"/>
    <w:rsid w:val="003141DA"/>
    <w:rsid w:val="00317397"/>
    <w:rsid w:val="00320153"/>
    <w:rsid w:val="003224C7"/>
    <w:rsid w:val="00327E26"/>
    <w:rsid w:val="00330DD8"/>
    <w:rsid w:val="00331380"/>
    <w:rsid w:val="00331423"/>
    <w:rsid w:val="00331AA1"/>
    <w:rsid w:val="00332367"/>
    <w:rsid w:val="0033357B"/>
    <w:rsid w:val="003363E0"/>
    <w:rsid w:val="0033710A"/>
    <w:rsid w:val="00337172"/>
    <w:rsid w:val="00337AF2"/>
    <w:rsid w:val="00337BCF"/>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451B"/>
    <w:rsid w:val="00387255"/>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5ED1"/>
    <w:rsid w:val="003D63E6"/>
    <w:rsid w:val="003E1094"/>
    <w:rsid w:val="003E1B2D"/>
    <w:rsid w:val="003E2F07"/>
    <w:rsid w:val="003E31A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1A3C"/>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6722"/>
    <w:rsid w:val="00447A83"/>
    <w:rsid w:val="00450AE7"/>
    <w:rsid w:val="00452527"/>
    <w:rsid w:val="00453F94"/>
    <w:rsid w:val="0045405E"/>
    <w:rsid w:val="0045524D"/>
    <w:rsid w:val="00455720"/>
    <w:rsid w:val="00455EFB"/>
    <w:rsid w:val="00455FA5"/>
    <w:rsid w:val="00456516"/>
    <w:rsid w:val="00461E0D"/>
    <w:rsid w:val="00462328"/>
    <w:rsid w:val="00462D9E"/>
    <w:rsid w:val="004636D8"/>
    <w:rsid w:val="00464878"/>
    <w:rsid w:val="00466864"/>
    <w:rsid w:val="00466F57"/>
    <w:rsid w:val="00467C9D"/>
    <w:rsid w:val="00470261"/>
    <w:rsid w:val="004711A9"/>
    <w:rsid w:val="00471ABA"/>
    <w:rsid w:val="00477510"/>
    <w:rsid w:val="00480985"/>
    <w:rsid w:val="00480CC1"/>
    <w:rsid w:val="00480FF7"/>
    <w:rsid w:val="004811BA"/>
    <w:rsid w:val="00482354"/>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73F"/>
    <w:rsid w:val="004D3932"/>
    <w:rsid w:val="004D5055"/>
    <w:rsid w:val="004D5AAF"/>
    <w:rsid w:val="004D5BE2"/>
    <w:rsid w:val="004D5E18"/>
    <w:rsid w:val="004D6163"/>
    <w:rsid w:val="004D6C75"/>
    <w:rsid w:val="004E157D"/>
    <w:rsid w:val="004E17EB"/>
    <w:rsid w:val="004E1D4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4B8"/>
    <w:rsid w:val="00506FB3"/>
    <w:rsid w:val="005102A0"/>
    <w:rsid w:val="005107A4"/>
    <w:rsid w:val="00512B61"/>
    <w:rsid w:val="00512E3B"/>
    <w:rsid w:val="00513143"/>
    <w:rsid w:val="005131E7"/>
    <w:rsid w:val="00517C1B"/>
    <w:rsid w:val="00521905"/>
    <w:rsid w:val="00521A8A"/>
    <w:rsid w:val="0052537A"/>
    <w:rsid w:val="005261C6"/>
    <w:rsid w:val="005268CD"/>
    <w:rsid w:val="00526A8B"/>
    <w:rsid w:val="005306F5"/>
    <w:rsid w:val="00530EFC"/>
    <w:rsid w:val="0053145D"/>
    <w:rsid w:val="0053265E"/>
    <w:rsid w:val="00534837"/>
    <w:rsid w:val="00534ED6"/>
    <w:rsid w:val="005356DD"/>
    <w:rsid w:val="0054383E"/>
    <w:rsid w:val="00544067"/>
    <w:rsid w:val="00544689"/>
    <w:rsid w:val="005448AE"/>
    <w:rsid w:val="00544EBF"/>
    <w:rsid w:val="0054752F"/>
    <w:rsid w:val="005477FF"/>
    <w:rsid w:val="005514EA"/>
    <w:rsid w:val="0055180E"/>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A0CDE"/>
    <w:rsid w:val="005A1A2E"/>
    <w:rsid w:val="005A2814"/>
    <w:rsid w:val="005A2F58"/>
    <w:rsid w:val="005A52CE"/>
    <w:rsid w:val="005A5694"/>
    <w:rsid w:val="005A60A3"/>
    <w:rsid w:val="005A6F2A"/>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52D1"/>
    <w:rsid w:val="006172ED"/>
    <w:rsid w:val="00620063"/>
    <w:rsid w:val="00620D75"/>
    <w:rsid w:val="00621F2C"/>
    <w:rsid w:val="00624760"/>
    <w:rsid w:val="00624F2C"/>
    <w:rsid w:val="00626BC0"/>
    <w:rsid w:val="0063051C"/>
    <w:rsid w:val="00631736"/>
    <w:rsid w:val="006328AE"/>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1681"/>
    <w:rsid w:val="006929EA"/>
    <w:rsid w:val="00692BC9"/>
    <w:rsid w:val="0069501F"/>
    <w:rsid w:val="006961A8"/>
    <w:rsid w:val="00697C87"/>
    <w:rsid w:val="00697D22"/>
    <w:rsid w:val="006A0942"/>
    <w:rsid w:val="006A1579"/>
    <w:rsid w:val="006A2FDF"/>
    <w:rsid w:val="006A4A8A"/>
    <w:rsid w:val="006A4B96"/>
    <w:rsid w:val="006A5309"/>
    <w:rsid w:val="006A5968"/>
    <w:rsid w:val="006A68DA"/>
    <w:rsid w:val="006A6C9E"/>
    <w:rsid w:val="006B3727"/>
    <w:rsid w:val="006B4BAA"/>
    <w:rsid w:val="006B5EEE"/>
    <w:rsid w:val="006B7BA8"/>
    <w:rsid w:val="006B7E76"/>
    <w:rsid w:val="006C19CF"/>
    <w:rsid w:val="006C3458"/>
    <w:rsid w:val="006C3815"/>
    <w:rsid w:val="006C4170"/>
    <w:rsid w:val="006C4A05"/>
    <w:rsid w:val="006C5ACD"/>
    <w:rsid w:val="006C5CB6"/>
    <w:rsid w:val="006C7218"/>
    <w:rsid w:val="006C75F7"/>
    <w:rsid w:val="006C7E9B"/>
    <w:rsid w:val="006D0BDE"/>
    <w:rsid w:val="006D0F3C"/>
    <w:rsid w:val="006D160E"/>
    <w:rsid w:val="006D3D10"/>
    <w:rsid w:val="006D4093"/>
    <w:rsid w:val="006D4430"/>
    <w:rsid w:val="006D586E"/>
    <w:rsid w:val="006D6C20"/>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45D7"/>
    <w:rsid w:val="007165DC"/>
    <w:rsid w:val="007166B2"/>
    <w:rsid w:val="00717330"/>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77221"/>
    <w:rsid w:val="00780770"/>
    <w:rsid w:val="00783025"/>
    <w:rsid w:val="00784BFC"/>
    <w:rsid w:val="0078739B"/>
    <w:rsid w:val="0079021D"/>
    <w:rsid w:val="007929D8"/>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474E"/>
    <w:rsid w:val="007B7E70"/>
    <w:rsid w:val="007C0495"/>
    <w:rsid w:val="007C67CB"/>
    <w:rsid w:val="007D115D"/>
    <w:rsid w:val="007D1185"/>
    <w:rsid w:val="007D37FB"/>
    <w:rsid w:val="007D3AB0"/>
    <w:rsid w:val="007D3C57"/>
    <w:rsid w:val="007D6324"/>
    <w:rsid w:val="007D68C9"/>
    <w:rsid w:val="007D6F94"/>
    <w:rsid w:val="007D7B84"/>
    <w:rsid w:val="007E1F76"/>
    <w:rsid w:val="007E3453"/>
    <w:rsid w:val="007E3857"/>
    <w:rsid w:val="007E4180"/>
    <w:rsid w:val="007E4A3F"/>
    <w:rsid w:val="007E6E94"/>
    <w:rsid w:val="007E775F"/>
    <w:rsid w:val="007F19E2"/>
    <w:rsid w:val="007F2369"/>
    <w:rsid w:val="007F2A00"/>
    <w:rsid w:val="007F2B00"/>
    <w:rsid w:val="007F2DEA"/>
    <w:rsid w:val="007F353C"/>
    <w:rsid w:val="007F42B0"/>
    <w:rsid w:val="007F557D"/>
    <w:rsid w:val="007F5D9C"/>
    <w:rsid w:val="007F66E1"/>
    <w:rsid w:val="008002FC"/>
    <w:rsid w:val="008016A7"/>
    <w:rsid w:val="00801ED9"/>
    <w:rsid w:val="00802399"/>
    <w:rsid w:val="008027C8"/>
    <w:rsid w:val="00803922"/>
    <w:rsid w:val="00804D31"/>
    <w:rsid w:val="008051DC"/>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6B26"/>
    <w:rsid w:val="008176FD"/>
    <w:rsid w:val="00820221"/>
    <w:rsid w:val="00820966"/>
    <w:rsid w:val="008216F7"/>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5AB"/>
    <w:rsid w:val="008740D8"/>
    <w:rsid w:val="0087506B"/>
    <w:rsid w:val="0087693A"/>
    <w:rsid w:val="00876C63"/>
    <w:rsid w:val="00876D94"/>
    <w:rsid w:val="0089069E"/>
    <w:rsid w:val="008912D3"/>
    <w:rsid w:val="008914CB"/>
    <w:rsid w:val="008937B1"/>
    <w:rsid w:val="00894A43"/>
    <w:rsid w:val="00895477"/>
    <w:rsid w:val="008A15AE"/>
    <w:rsid w:val="008A1DBB"/>
    <w:rsid w:val="008A2A18"/>
    <w:rsid w:val="008A4832"/>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1A6D"/>
    <w:rsid w:val="008D2BA4"/>
    <w:rsid w:val="008D45A6"/>
    <w:rsid w:val="008D4CB3"/>
    <w:rsid w:val="008D5CDB"/>
    <w:rsid w:val="008D643C"/>
    <w:rsid w:val="008D6554"/>
    <w:rsid w:val="008D7E71"/>
    <w:rsid w:val="008E0B20"/>
    <w:rsid w:val="008E15F6"/>
    <w:rsid w:val="008E584F"/>
    <w:rsid w:val="008E5E8B"/>
    <w:rsid w:val="008E6072"/>
    <w:rsid w:val="008E6640"/>
    <w:rsid w:val="008F2669"/>
    <w:rsid w:val="008F2710"/>
    <w:rsid w:val="008F432E"/>
    <w:rsid w:val="008F50BB"/>
    <w:rsid w:val="008F5567"/>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818"/>
    <w:rsid w:val="009369EF"/>
    <w:rsid w:val="00936A52"/>
    <w:rsid w:val="00940B15"/>
    <w:rsid w:val="009416D1"/>
    <w:rsid w:val="0094391C"/>
    <w:rsid w:val="00945661"/>
    <w:rsid w:val="00946996"/>
    <w:rsid w:val="0095322B"/>
    <w:rsid w:val="0095360A"/>
    <w:rsid w:val="009559EB"/>
    <w:rsid w:val="009604D5"/>
    <w:rsid w:val="009618D2"/>
    <w:rsid w:val="009626CA"/>
    <w:rsid w:val="00962D06"/>
    <w:rsid w:val="00963402"/>
    <w:rsid w:val="00964835"/>
    <w:rsid w:val="00966868"/>
    <w:rsid w:val="00966917"/>
    <w:rsid w:val="00967387"/>
    <w:rsid w:val="009709AB"/>
    <w:rsid w:val="00971FD5"/>
    <w:rsid w:val="0097223A"/>
    <w:rsid w:val="00972723"/>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585"/>
    <w:rsid w:val="00992A3A"/>
    <w:rsid w:val="00993261"/>
    <w:rsid w:val="00993578"/>
    <w:rsid w:val="00997E03"/>
    <w:rsid w:val="009A0770"/>
    <w:rsid w:val="009A0BA3"/>
    <w:rsid w:val="009A1A8B"/>
    <w:rsid w:val="009A2A56"/>
    <w:rsid w:val="009A2BE5"/>
    <w:rsid w:val="009A3752"/>
    <w:rsid w:val="009A418D"/>
    <w:rsid w:val="009A520C"/>
    <w:rsid w:val="009A75FE"/>
    <w:rsid w:val="009B137E"/>
    <w:rsid w:val="009B2144"/>
    <w:rsid w:val="009B2D08"/>
    <w:rsid w:val="009B6315"/>
    <w:rsid w:val="009B6C73"/>
    <w:rsid w:val="009C4645"/>
    <w:rsid w:val="009C59F9"/>
    <w:rsid w:val="009C63B1"/>
    <w:rsid w:val="009C6C6F"/>
    <w:rsid w:val="009D0173"/>
    <w:rsid w:val="009D0895"/>
    <w:rsid w:val="009D21F6"/>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66D0"/>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4DF"/>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82790"/>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C03"/>
    <w:rsid w:val="00AB50AF"/>
    <w:rsid w:val="00AB52EA"/>
    <w:rsid w:val="00AB5EF6"/>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52E7"/>
    <w:rsid w:val="00AE68F6"/>
    <w:rsid w:val="00AE6E54"/>
    <w:rsid w:val="00AF17F6"/>
    <w:rsid w:val="00AF2D24"/>
    <w:rsid w:val="00AF413F"/>
    <w:rsid w:val="00AF420A"/>
    <w:rsid w:val="00AF4465"/>
    <w:rsid w:val="00AF4901"/>
    <w:rsid w:val="00AF670F"/>
    <w:rsid w:val="00AF6E5B"/>
    <w:rsid w:val="00AF75AC"/>
    <w:rsid w:val="00AF766A"/>
    <w:rsid w:val="00B014BB"/>
    <w:rsid w:val="00B02826"/>
    <w:rsid w:val="00B043E6"/>
    <w:rsid w:val="00B045EC"/>
    <w:rsid w:val="00B058FF"/>
    <w:rsid w:val="00B07483"/>
    <w:rsid w:val="00B074D0"/>
    <w:rsid w:val="00B10CFD"/>
    <w:rsid w:val="00B158C3"/>
    <w:rsid w:val="00B22517"/>
    <w:rsid w:val="00B2293D"/>
    <w:rsid w:val="00B2353C"/>
    <w:rsid w:val="00B272BE"/>
    <w:rsid w:val="00B27737"/>
    <w:rsid w:val="00B27A14"/>
    <w:rsid w:val="00B32C84"/>
    <w:rsid w:val="00B33E5E"/>
    <w:rsid w:val="00B34D85"/>
    <w:rsid w:val="00B3567F"/>
    <w:rsid w:val="00B3710C"/>
    <w:rsid w:val="00B37FE3"/>
    <w:rsid w:val="00B4043F"/>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0886"/>
    <w:rsid w:val="00B72DDC"/>
    <w:rsid w:val="00B7347F"/>
    <w:rsid w:val="00B74AB7"/>
    <w:rsid w:val="00B75565"/>
    <w:rsid w:val="00B76017"/>
    <w:rsid w:val="00B7689E"/>
    <w:rsid w:val="00B81053"/>
    <w:rsid w:val="00B82164"/>
    <w:rsid w:val="00B86446"/>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3E4"/>
    <w:rsid w:val="00BB18C4"/>
    <w:rsid w:val="00BB4BBA"/>
    <w:rsid w:val="00BB505E"/>
    <w:rsid w:val="00BB7324"/>
    <w:rsid w:val="00BB78A6"/>
    <w:rsid w:val="00BC0543"/>
    <w:rsid w:val="00BC11E8"/>
    <w:rsid w:val="00BC15FB"/>
    <w:rsid w:val="00BC16FF"/>
    <w:rsid w:val="00BC1721"/>
    <w:rsid w:val="00BC22CF"/>
    <w:rsid w:val="00BC3D6F"/>
    <w:rsid w:val="00BC4C6A"/>
    <w:rsid w:val="00BC57F5"/>
    <w:rsid w:val="00BC782B"/>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746C"/>
    <w:rsid w:val="00C07ED9"/>
    <w:rsid w:val="00C11341"/>
    <w:rsid w:val="00C15A5E"/>
    <w:rsid w:val="00C17352"/>
    <w:rsid w:val="00C17356"/>
    <w:rsid w:val="00C17507"/>
    <w:rsid w:val="00C17BFA"/>
    <w:rsid w:val="00C22767"/>
    <w:rsid w:val="00C22C2F"/>
    <w:rsid w:val="00C25992"/>
    <w:rsid w:val="00C267E3"/>
    <w:rsid w:val="00C27B64"/>
    <w:rsid w:val="00C30167"/>
    <w:rsid w:val="00C308DC"/>
    <w:rsid w:val="00C31AC5"/>
    <w:rsid w:val="00C31CE3"/>
    <w:rsid w:val="00C3206E"/>
    <w:rsid w:val="00C365F1"/>
    <w:rsid w:val="00C3665C"/>
    <w:rsid w:val="00C368EE"/>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4B16"/>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8F0"/>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CF3"/>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5DEB"/>
    <w:rsid w:val="00DB67F3"/>
    <w:rsid w:val="00DC11F9"/>
    <w:rsid w:val="00DC2867"/>
    <w:rsid w:val="00DC2BC4"/>
    <w:rsid w:val="00DC343A"/>
    <w:rsid w:val="00DD130F"/>
    <w:rsid w:val="00DD4131"/>
    <w:rsid w:val="00DD4387"/>
    <w:rsid w:val="00DD5B36"/>
    <w:rsid w:val="00DD7C42"/>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016"/>
    <w:rsid w:val="00E035A1"/>
    <w:rsid w:val="00E03911"/>
    <w:rsid w:val="00E049CB"/>
    <w:rsid w:val="00E04D19"/>
    <w:rsid w:val="00E05B4C"/>
    <w:rsid w:val="00E07967"/>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2A8E"/>
    <w:rsid w:val="00E33895"/>
    <w:rsid w:val="00E3398B"/>
    <w:rsid w:val="00E33A3B"/>
    <w:rsid w:val="00E367DC"/>
    <w:rsid w:val="00E36D70"/>
    <w:rsid w:val="00E37333"/>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638F"/>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28E6"/>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9C3"/>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324"/>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F3"/>
    <w:rsid w:val="00F9700C"/>
    <w:rsid w:val="00F9781A"/>
    <w:rsid w:val="00FA057C"/>
    <w:rsid w:val="00FA086F"/>
    <w:rsid w:val="00FA0D16"/>
    <w:rsid w:val="00FA185B"/>
    <w:rsid w:val="00FA60BF"/>
    <w:rsid w:val="00FA6883"/>
    <w:rsid w:val="00FA7405"/>
    <w:rsid w:val="00FB0D12"/>
    <w:rsid w:val="00FB1CB4"/>
    <w:rsid w:val="00FB23B5"/>
    <w:rsid w:val="00FB3D40"/>
    <w:rsid w:val="00FB44EB"/>
    <w:rsid w:val="00FB675F"/>
    <w:rsid w:val="00FC11A3"/>
    <w:rsid w:val="00FC1300"/>
    <w:rsid w:val="00FC1C93"/>
    <w:rsid w:val="00FC42A3"/>
    <w:rsid w:val="00FC55F9"/>
    <w:rsid w:val="00FC60D4"/>
    <w:rsid w:val="00FC77AE"/>
    <w:rsid w:val="00FC7D9F"/>
    <w:rsid w:val="00FD2BAD"/>
    <w:rsid w:val="00FD2F51"/>
    <w:rsid w:val="00FD330C"/>
    <w:rsid w:val="00FD3660"/>
    <w:rsid w:val="00FD484C"/>
    <w:rsid w:val="00FD49D6"/>
    <w:rsid w:val="00FD5230"/>
    <w:rsid w:val="00FD55FB"/>
    <w:rsid w:val="00FD569D"/>
    <w:rsid w:val="00FD678B"/>
    <w:rsid w:val="00FD6903"/>
    <w:rsid w:val="00FE1ADC"/>
    <w:rsid w:val="00FE225D"/>
    <w:rsid w:val="00FE4989"/>
    <w:rsid w:val="00FE5C3E"/>
    <w:rsid w:val="00FF0A2F"/>
    <w:rsid w:val="00FF1B04"/>
    <w:rsid w:val="00FF22F8"/>
    <w:rsid w:val="01654C82"/>
    <w:rsid w:val="020A6A96"/>
    <w:rsid w:val="0356786B"/>
    <w:rsid w:val="046E31C1"/>
    <w:rsid w:val="056C4F65"/>
    <w:rsid w:val="06F4696E"/>
    <w:rsid w:val="07245E56"/>
    <w:rsid w:val="0C023D8C"/>
    <w:rsid w:val="0C225D7B"/>
    <w:rsid w:val="0E9022D3"/>
    <w:rsid w:val="0E94232E"/>
    <w:rsid w:val="0F1306D5"/>
    <w:rsid w:val="11295396"/>
    <w:rsid w:val="12F56293"/>
    <w:rsid w:val="13531674"/>
    <w:rsid w:val="163A1B23"/>
    <w:rsid w:val="163E2FB7"/>
    <w:rsid w:val="17622796"/>
    <w:rsid w:val="181C08FC"/>
    <w:rsid w:val="19F32D28"/>
    <w:rsid w:val="1A48157B"/>
    <w:rsid w:val="1AAA799F"/>
    <w:rsid w:val="1B9930ED"/>
    <w:rsid w:val="1BD70953"/>
    <w:rsid w:val="1BF87698"/>
    <w:rsid w:val="1E585AB7"/>
    <w:rsid w:val="1E8075A1"/>
    <w:rsid w:val="1EB160C2"/>
    <w:rsid w:val="1FA97B1F"/>
    <w:rsid w:val="1FF145B9"/>
    <w:rsid w:val="2193546F"/>
    <w:rsid w:val="25D0272D"/>
    <w:rsid w:val="26F50BA9"/>
    <w:rsid w:val="27BD5E26"/>
    <w:rsid w:val="285E4249"/>
    <w:rsid w:val="29026D00"/>
    <w:rsid w:val="29AF0175"/>
    <w:rsid w:val="2EA644DF"/>
    <w:rsid w:val="2FB532A0"/>
    <w:rsid w:val="319C4BEA"/>
    <w:rsid w:val="34C829B2"/>
    <w:rsid w:val="35381804"/>
    <w:rsid w:val="3603423B"/>
    <w:rsid w:val="36146FAD"/>
    <w:rsid w:val="38051411"/>
    <w:rsid w:val="386A3F56"/>
    <w:rsid w:val="38777E2D"/>
    <w:rsid w:val="3A810EF7"/>
    <w:rsid w:val="3A842191"/>
    <w:rsid w:val="3ACF0F3F"/>
    <w:rsid w:val="3B7626CB"/>
    <w:rsid w:val="3C3802E9"/>
    <w:rsid w:val="3DA51C15"/>
    <w:rsid w:val="3E586AB8"/>
    <w:rsid w:val="3E5C1B1D"/>
    <w:rsid w:val="3EAE14E9"/>
    <w:rsid w:val="3FD261A6"/>
    <w:rsid w:val="407C0C49"/>
    <w:rsid w:val="42EB2F9C"/>
    <w:rsid w:val="45226963"/>
    <w:rsid w:val="477C2F5C"/>
    <w:rsid w:val="499C5ED6"/>
    <w:rsid w:val="49BD5E51"/>
    <w:rsid w:val="49CF7D54"/>
    <w:rsid w:val="4D39606F"/>
    <w:rsid w:val="4F137BD5"/>
    <w:rsid w:val="4F8E3D4D"/>
    <w:rsid w:val="53063B85"/>
    <w:rsid w:val="533C1961"/>
    <w:rsid w:val="53B3493A"/>
    <w:rsid w:val="54560EDE"/>
    <w:rsid w:val="5537323C"/>
    <w:rsid w:val="55855837"/>
    <w:rsid w:val="55E83741"/>
    <w:rsid w:val="56503211"/>
    <w:rsid w:val="598B567E"/>
    <w:rsid w:val="5C624734"/>
    <w:rsid w:val="5FE91ABC"/>
    <w:rsid w:val="60EB32EA"/>
    <w:rsid w:val="628E734C"/>
    <w:rsid w:val="62BD3A82"/>
    <w:rsid w:val="6580603B"/>
    <w:rsid w:val="66A34D18"/>
    <w:rsid w:val="682A44E1"/>
    <w:rsid w:val="68C7223A"/>
    <w:rsid w:val="68EF6886"/>
    <w:rsid w:val="69867C07"/>
    <w:rsid w:val="6AAD6877"/>
    <w:rsid w:val="6B3F3089"/>
    <w:rsid w:val="6C2B2E22"/>
    <w:rsid w:val="6EAA7DFD"/>
    <w:rsid w:val="6EE25628"/>
    <w:rsid w:val="6FDD1093"/>
    <w:rsid w:val="709C0126"/>
    <w:rsid w:val="76022652"/>
    <w:rsid w:val="768501BE"/>
    <w:rsid w:val="76C8601E"/>
    <w:rsid w:val="77150144"/>
    <w:rsid w:val="7BEA1CFE"/>
    <w:rsid w:val="7D803772"/>
    <w:rsid w:val="7D80556D"/>
    <w:rsid w:val="7E3713F1"/>
    <w:rsid w:val="7ED86E63"/>
    <w:rsid w:val="7F5534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AA53ECC9-B097-4DDC-88B1-78B37D11FF03}">
  <ds:schemaRefs/>
</ds:datastoreItem>
</file>

<file path=customXml/itemProps11.xml><?xml version="1.0" encoding="utf-8"?>
<ds:datastoreItem xmlns:ds="http://schemas.openxmlformats.org/officeDocument/2006/customXml" ds:itemID="{3A3C3A8D-C5E4-45AF-8B48-C3BF528808AD}">
  <ds:schemaRefs/>
</ds:datastoreItem>
</file>

<file path=customXml/itemProps12.xml><?xml version="1.0" encoding="utf-8"?>
<ds:datastoreItem xmlns:ds="http://schemas.openxmlformats.org/officeDocument/2006/customXml" ds:itemID="{CF487381-D648-48A1-B1E4-A4540B0D3650}">
  <ds:schemaRefs/>
</ds:datastoreItem>
</file>

<file path=customXml/itemProps13.xml><?xml version="1.0" encoding="utf-8"?>
<ds:datastoreItem xmlns:ds="http://schemas.openxmlformats.org/officeDocument/2006/customXml" ds:itemID="{EC45DDBE-A426-47CA-BC62-D025DE29F1BC}">
  <ds:schemaRefs/>
</ds:datastoreItem>
</file>

<file path=customXml/itemProps14.xml><?xml version="1.0" encoding="utf-8"?>
<ds:datastoreItem xmlns:ds="http://schemas.openxmlformats.org/officeDocument/2006/customXml" ds:itemID="{D902962D-C8CC-43BF-804A-CD60AE6D7475}">
  <ds:schemaRefs/>
</ds:datastoreItem>
</file>

<file path=customXml/itemProps15.xml><?xml version="1.0" encoding="utf-8"?>
<ds:datastoreItem xmlns:ds="http://schemas.openxmlformats.org/officeDocument/2006/customXml" ds:itemID="{2108FF18-8EC8-4170-A536-1AA8E39CC797}">
  <ds:schemaRefs/>
</ds:datastoreItem>
</file>

<file path=customXml/itemProps16.xml><?xml version="1.0" encoding="utf-8"?>
<ds:datastoreItem xmlns:ds="http://schemas.openxmlformats.org/officeDocument/2006/customXml" ds:itemID="{A06CD169-7F5C-4082-81B2-6ECAA9AF6149}">
  <ds:schemaRefs/>
</ds:datastoreItem>
</file>

<file path=customXml/itemProps17.xml><?xml version="1.0" encoding="utf-8"?>
<ds:datastoreItem xmlns:ds="http://schemas.openxmlformats.org/officeDocument/2006/customXml" ds:itemID="{509BA638-9D3A-4AA3-A169-FF78BC0E4BE9}">
  <ds:schemaRefs/>
</ds:datastoreItem>
</file>

<file path=customXml/itemProps18.xml><?xml version="1.0" encoding="utf-8"?>
<ds:datastoreItem xmlns:ds="http://schemas.openxmlformats.org/officeDocument/2006/customXml" ds:itemID="{79B37214-9E52-4241-8DD2-9E9CD9442006}">
  <ds:schemaRefs/>
</ds:datastoreItem>
</file>

<file path=customXml/itemProps2.xml><?xml version="1.0" encoding="utf-8"?>
<ds:datastoreItem xmlns:ds="http://schemas.openxmlformats.org/officeDocument/2006/customXml" ds:itemID="{1990A2D8-324F-45D5-B9CD-07245ED2860B}">
  <ds:schemaRefs/>
</ds:datastoreItem>
</file>

<file path=customXml/itemProps3.xml><?xml version="1.0" encoding="utf-8"?>
<ds:datastoreItem xmlns:ds="http://schemas.openxmlformats.org/officeDocument/2006/customXml" ds:itemID="{9114D43D-ED98-4C7B-A3AE-26D78B80CA82}">
  <ds:schemaRefs/>
</ds:datastoreItem>
</file>

<file path=customXml/itemProps4.xml><?xml version="1.0" encoding="utf-8"?>
<ds:datastoreItem xmlns:ds="http://schemas.openxmlformats.org/officeDocument/2006/customXml" ds:itemID="{AC86F3EB-DB57-4B60-8A7E-BBB67A22EE0B}">
  <ds:schemaRefs/>
</ds:datastoreItem>
</file>

<file path=customXml/itemProps5.xml><?xml version="1.0" encoding="utf-8"?>
<ds:datastoreItem xmlns:ds="http://schemas.openxmlformats.org/officeDocument/2006/customXml" ds:itemID="{1A3BDF38-4832-4575-A8AB-7A1679738229}">
  <ds:schemaRefs/>
</ds:datastoreItem>
</file>

<file path=customXml/itemProps6.xml><?xml version="1.0" encoding="utf-8"?>
<ds:datastoreItem xmlns:ds="http://schemas.openxmlformats.org/officeDocument/2006/customXml" ds:itemID="{E6D3D55C-3DD8-4C31-8069-E5508DD844FB}">
  <ds:schemaRefs/>
</ds:datastoreItem>
</file>

<file path=customXml/itemProps7.xml><?xml version="1.0" encoding="utf-8"?>
<ds:datastoreItem xmlns:ds="http://schemas.openxmlformats.org/officeDocument/2006/customXml" ds:itemID="{BEEE0313-55EB-45FA-BBBD-C0232D367255}">
  <ds:schemaRefs/>
</ds:datastoreItem>
</file>

<file path=customXml/itemProps8.xml><?xml version="1.0" encoding="utf-8"?>
<ds:datastoreItem xmlns:ds="http://schemas.openxmlformats.org/officeDocument/2006/customXml" ds:itemID="{0A7AA9EF-3B8C-4BAA-9155-A6E3E5337D3C}">
  <ds:schemaRefs/>
</ds:datastoreItem>
</file>

<file path=customXml/itemProps9.xml><?xml version="1.0" encoding="utf-8"?>
<ds:datastoreItem xmlns:ds="http://schemas.openxmlformats.org/officeDocument/2006/customXml" ds:itemID="{7E5C9D84-6DB6-48FB-8632-D5279FC233C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41</Pages>
  <Words>4393</Words>
  <Characters>25046</Characters>
  <Lines>208</Lines>
  <Paragraphs>58</Paragraphs>
  <TotalTime>0</TotalTime>
  <ScaleCrop>false</ScaleCrop>
  <LinksUpToDate>false</LinksUpToDate>
  <CharactersWithSpaces>29381</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2023-11-01T01:20:00Z</dcterms:created>
  <dc:creator>张淼雯</dc:creator>
  <cp:lastModifiedBy>cib</cp:lastModifiedBy>
  <cp:lastPrinted>2022-01-18T08:37:00Z</cp:lastPrinted>
  <dcterms:modified xsi:type="dcterms:W3CDTF">2025-02-19T06:36:50Z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5466F5ED04264CD88390FDC4DDCA6BAE</vt:lpwstr>
  </property>
</Properties>
</file>