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兴银理财【稳添利日盈日开固收类】理财产品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兴银理财【稳添利日盈日开固收类】理财产品（代理）销售协议书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兴银理财【稳添利日盈日开固收类】理财产品投资者权益须知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兴银理财【稳添利日盈日开固收类】理财产品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112263"/>
      <w:bookmarkStart w:id="1" w:name="_Toc123701383"/>
      <w:bookmarkStart w:id="2" w:name="_Toc139991726"/>
      <w:bookmarkStart w:id="3" w:name="_Toc123112224"/>
      <w:bookmarkStart w:id="4" w:name="_Toc139992301"/>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39992302"/>
      <w:bookmarkStart w:id="6" w:name="_Toc123701384"/>
      <w:bookmarkStart w:id="7" w:name="_Toc123112225"/>
      <w:bookmarkStart w:id="8" w:name="_Toc123112264"/>
      <w:bookmarkStart w:id="9" w:name="_Toc139991727"/>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w:t>
      </w:r>
      <w:r>
        <w:rPr>
          <w:rStyle w:val="12"/>
          <w:rFonts w:hint="eastAsia" w:ascii="宋体" w:hAnsi="宋体"/>
          <w:sz w:val="28"/>
          <w:szCs w:val="28"/>
          <w:lang w:val="en-US" w:eastAsia="zh-CN"/>
        </w:rPr>
        <w:t>5</w:t>
      </w:r>
      <w:r>
        <w:rPr>
          <w:rStyle w:val="12"/>
          <w:rFonts w:hint="eastAsia" w:ascii="宋体" w:hAnsi="宋体"/>
          <w:sz w:val="28"/>
          <w:szCs w:val="28"/>
        </w:rPr>
        <w:t>】年【</w:t>
      </w:r>
      <w:r>
        <w:rPr>
          <w:rStyle w:val="12"/>
          <w:rFonts w:hint="eastAsia" w:ascii="宋体" w:hAnsi="宋体"/>
          <w:sz w:val="28"/>
          <w:szCs w:val="28"/>
          <w:lang w:val="en-US" w:eastAsia="zh-CN"/>
        </w:rPr>
        <w:t>06</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8"/>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2311226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兴银理财稳添利日盈增利56号日开固收类理财产品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color w:val="000000" w:themeColor="text1"/>
                <w:sz w:val="18"/>
                <w:szCs w:val="18"/>
                <w14:textFill>
                  <w14:solidFill>
                    <w14:schemeClr w14:val="tx1"/>
                  </w14:solidFill>
                </w14:textFill>
              </w:rPr>
              <w:t>兴银稳添利日盈56号A</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Z7002024002072</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9K921560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9K92156A</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41703880"/>
      <w:bookmarkStart w:id="15" w:name="_Toc30935"/>
      <w:bookmarkStart w:id="16" w:name="_Toc23386"/>
      <w:bookmarkStart w:id="17" w:name="_Toc32639"/>
      <w:bookmarkStart w:id="18" w:name="_Toc123701389"/>
      <w:bookmarkStart w:id="19" w:name="_Toc139991730"/>
      <w:bookmarkStart w:id="20" w:name="_Toc29629"/>
      <w:bookmarkStart w:id="21" w:name="_Toc6306"/>
      <w:bookmarkStart w:id="22" w:name="_Toc15517"/>
      <w:bookmarkStart w:id="23" w:name="_Toc123112229"/>
      <w:bookmarkStart w:id="24" w:name="_Toc4966"/>
      <w:bookmarkStart w:id="25" w:name="_Toc4867"/>
      <w:bookmarkStart w:id="26" w:name="_Toc8727"/>
      <w:bookmarkStart w:id="27" w:name="_Toc123112268"/>
      <w:bookmarkStart w:id="28" w:name="_Toc2689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24860"/>
      <w:bookmarkStart w:id="34" w:name="_Toc13020"/>
      <w:bookmarkStart w:id="35" w:name="_Toc258829399"/>
      <w:bookmarkStart w:id="36" w:name="_Toc19592"/>
      <w:bookmarkStart w:id="37" w:name="_Toc2465"/>
      <w:bookmarkStart w:id="38" w:name="_Toc3224"/>
      <w:bookmarkStart w:id="39" w:name="_Toc15067"/>
      <w:bookmarkStart w:id="40" w:name="_Toc22864"/>
      <w:bookmarkStart w:id="41" w:name="_Toc819"/>
      <w:bookmarkStart w:id="42" w:name="_Toc6617"/>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13288"/>
      <w:bookmarkStart w:id="49" w:name="_Toc20627"/>
      <w:bookmarkStart w:id="50" w:name="_Toc18631"/>
      <w:bookmarkStart w:id="51" w:name="_Toc545"/>
      <w:bookmarkStart w:id="52" w:name="_Toc74065740"/>
      <w:bookmarkStart w:id="53" w:name="_Toc22708"/>
      <w:bookmarkStart w:id="54" w:name="_Toc733"/>
      <w:bookmarkStart w:id="55" w:name="_Toc6149"/>
      <w:bookmarkStart w:id="56" w:name="_Toc20318"/>
      <w:bookmarkStart w:id="57" w:name="_Toc668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3" w:type="default"/>
          <w:footerReference r:id="rId4" w:type="default"/>
          <w:pgSz w:w="11906" w:h="16838"/>
          <w:pgMar w:top="1440" w:right="1800" w:bottom="1440" w:left="1800" w:header="567" w:footer="964" w:gutter="0"/>
          <w:cols w:space="720" w:num="1"/>
          <w:docGrid w:type="lines" w:linePitch="312" w:charSpace="0"/>
        </w:sectPr>
      </w:pPr>
    </w:p>
    <w:p>
      <w:pPr>
        <w:pStyle w:val="17"/>
        <w:spacing w:line="360" w:lineRule="auto"/>
        <w:rPr>
          <w:rFonts w:hAnsi="宋体"/>
          <w:sz w:val="18"/>
          <w:szCs w:val="18"/>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兴银理财【稳添利日盈日开固收类】理财产品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w:t>
      </w:r>
      <w:r>
        <w:rPr>
          <w:rStyle w:val="12"/>
          <w:rFonts w:ascii="宋体" w:hAnsi="宋体" w:cs="Times New Roman"/>
          <w:sz w:val="32"/>
          <w:szCs w:val="32"/>
        </w:rPr>
        <w:t>202</w:t>
      </w:r>
      <w:r>
        <w:rPr>
          <w:rStyle w:val="12"/>
          <w:rFonts w:hint="eastAsia" w:ascii="宋体" w:hAnsi="宋体" w:cs="Times New Roman"/>
          <w:sz w:val="32"/>
          <w:szCs w:val="32"/>
          <w:lang w:val="en-US" w:eastAsia="zh-CN"/>
        </w:rPr>
        <w:t>5</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06</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"_Toc15989"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_Toc15989 \h </w:instrText>
          </w:r>
          <w:r>
            <w:fldChar w:fldCharType="separate"/>
          </w:r>
          <w:r>
            <w:t>3</w:t>
          </w:r>
          <w:r>
            <w:fldChar w:fldCharType="end"/>
          </w:r>
          <w:r>
            <w:fldChar w:fldCharType="end"/>
          </w:r>
        </w:p>
        <w:p>
          <w:pPr>
            <w:pStyle w:val="6"/>
            <w:tabs>
              <w:tab w:val="right" w:leader="dot" w:pos="8306"/>
              <w:tab w:val="clear" w:pos="8296"/>
            </w:tabs>
          </w:pPr>
          <w:r>
            <w:fldChar w:fldCharType="begin"/>
          </w:r>
          <w:r>
            <w:instrText xml:space="preserve"> HYPERLINK \l "_Toc3887" </w:instrText>
          </w:r>
          <w:r>
            <w:fldChar w:fldCharType="separate"/>
          </w:r>
          <w:r>
            <w:rPr>
              <w:rFonts w:hint="eastAsia" w:hAnsi="宋体"/>
              <w:szCs w:val="28"/>
            </w:rPr>
            <w:t>第二条  理财产品基本情况</w:t>
          </w:r>
          <w:r>
            <w:tab/>
          </w:r>
          <w:r>
            <w:fldChar w:fldCharType="begin"/>
          </w:r>
          <w:r>
            <w:instrText xml:space="preserve"> PAGEREF _Toc3887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"_Toc22117"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_Toc22117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"_Toc27778"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_Toc27778 \h </w:instrText>
          </w:r>
          <w:r>
            <w:fldChar w:fldCharType="separate"/>
          </w:r>
          <w:r>
            <w:t>16</w:t>
          </w:r>
          <w:r>
            <w:fldChar w:fldCharType="end"/>
          </w:r>
          <w:r>
            <w:fldChar w:fldCharType="end"/>
          </w:r>
        </w:p>
        <w:p>
          <w:pPr>
            <w:pStyle w:val="6"/>
            <w:tabs>
              <w:tab w:val="right" w:leader="dot" w:pos="8306"/>
              <w:tab w:val="clear" w:pos="8296"/>
            </w:tabs>
          </w:pPr>
          <w:r>
            <w:fldChar w:fldCharType="begin"/>
          </w:r>
          <w:r>
            <w:instrText xml:space="preserve"> HYPERLINK \l "_Toc24347"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_Toc24347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"_Toc16372"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_Toc16372 \h </w:instrText>
          </w:r>
          <w:r>
            <w:fldChar w:fldCharType="separate"/>
          </w:r>
          <w:r>
            <w:t>23</w:t>
          </w:r>
          <w:r>
            <w:fldChar w:fldCharType="end"/>
          </w:r>
          <w:r>
            <w:fldChar w:fldCharType="end"/>
          </w:r>
        </w:p>
        <w:p>
          <w:pPr>
            <w:pStyle w:val="6"/>
            <w:tabs>
              <w:tab w:val="right" w:leader="dot" w:pos="8306"/>
              <w:tab w:val="clear" w:pos="8296"/>
            </w:tabs>
          </w:pPr>
          <w:r>
            <w:fldChar w:fldCharType="begin"/>
          </w:r>
          <w:r>
            <w:instrText xml:space="preserve"> HYPERLINK \l "_Toc11569"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_Toc11569 \h </w:instrText>
          </w:r>
          <w:r>
            <w:fldChar w:fldCharType="separate"/>
          </w:r>
          <w:r>
            <w:t>24</w:t>
          </w:r>
          <w:r>
            <w:fldChar w:fldCharType="end"/>
          </w:r>
          <w:r>
            <w:fldChar w:fldCharType="end"/>
          </w:r>
        </w:p>
        <w:p>
          <w:pPr>
            <w:pStyle w:val="6"/>
            <w:tabs>
              <w:tab w:val="right" w:leader="dot" w:pos="8306"/>
              <w:tab w:val="clear" w:pos="8296"/>
            </w:tabs>
          </w:pPr>
          <w:r>
            <w:fldChar w:fldCharType="begin"/>
          </w:r>
          <w:r>
            <w:instrText xml:space="preserve"> HYPERLINK \l "_Toc18706"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_Toc18706 \h </w:instrText>
          </w:r>
          <w:r>
            <w:fldChar w:fldCharType="separate"/>
          </w:r>
          <w:r>
            <w:t>28</w:t>
          </w:r>
          <w:r>
            <w:fldChar w:fldCharType="end"/>
          </w:r>
          <w:r>
            <w:fldChar w:fldCharType="end"/>
          </w:r>
        </w:p>
        <w:p>
          <w:pPr>
            <w:pStyle w:val="6"/>
            <w:tabs>
              <w:tab w:val="right" w:leader="dot" w:pos="8306"/>
              <w:tab w:val="clear" w:pos="8296"/>
            </w:tabs>
          </w:pPr>
          <w:r>
            <w:fldChar w:fldCharType="begin"/>
          </w:r>
          <w:r>
            <w:instrText xml:space="preserve"> HYPERLINK \l "_Toc20951"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_Toc20951 \h </w:instrText>
          </w:r>
          <w:r>
            <w:fldChar w:fldCharType="separate"/>
          </w:r>
          <w:r>
            <w:t>29</w:t>
          </w:r>
          <w:r>
            <w:fldChar w:fldCharType="end"/>
          </w:r>
          <w:r>
            <w:fldChar w:fldCharType="end"/>
          </w:r>
        </w:p>
        <w:p>
          <w:pPr>
            <w:pStyle w:val="6"/>
            <w:tabs>
              <w:tab w:val="right" w:leader="dot" w:pos="8306"/>
              <w:tab w:val="clear" w:pos="8296"/>
            </w:tabs>
          </w:pPr>
          <w:r>
            <w:fldChar w:fldCharType="begin"/>
          </w:r>
          <w:r>
            <w:instrText xml:space="preserve"> HYPERLINK \l "_Toc19648"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_Toc19648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"_Toc23820"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_Toc23820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"_Toc9986"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_Toc9986 \h </w:instrText>
          </w:r>
          <w:r>
            <w:fldChar w:fldCharType="separate"/>
          </w:r>
          <w:r>
            <w:t>35</w:t>
          </w:r>
          <w:r>
            <w:fldChar w:fldCharType="end"/>
          </w:r>
          <w:r>
            <w:fldChar w:fldCharType="end"/>
          </w:r>
        </w:p>
        <w:p>
          <w:pPr>
            <w:spacing w:line="360" w:lineRule="auto"/>
          </w:pPr>
          <w:r>
            <w:fldChar w:fldCharType="end"/>
          </w:r>
        </w:p>
      </w:sdtContent>
    </w:sdt>
    <w:p>
      <w:pPr>
        <w:rPr>
          <w:rFonts w:ascii="Times New Roman"/>
          <w:sz w:val="30"/>
        </w:rPr>
      </w:pPr>
    </w:p>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103260528"/>
      <w:bookmarkStart w:id="68" w:name="_Toc92377130"/>
      <w:bookmarkStart w:id="69" w:name="_Toc15989"/>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bookmarkEnd w:id="69"/>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中国建设银行股份有限公司（以下简称“建设银行”）。建设银行成立于1954年，于1998年开展资产托管业务，具备理财产品托管资格。托管人提供的托管服务内容主要包括托管资产的账户管理、资产保管、资金清算、会计核算与资产估值、投资监督和信息报告等。</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：指产品管理人向投资者提供的，用于描述产品特征，约定权利义务的文件。具体指《兴银理财【稳添利日盈日开固收类】理财产品销售文件》，包括《投资协议书》、《产品说明书》、《（代理）销售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《投资协议书》：指管理人统一编制的《兴银理财【稳添利日盈日开固收类】理财产品投资协议书》，以及对该文件的有效修改或补充。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）《产品说明书》：指管理人统一编制的《兴银理财【稳添利日盈日开固收类】理财产品产品说明书》，以及对该文件的有效修改或补充。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（4）《（代理）销售协议书》：指管理人统一编制的《兴银理财【稳添利日盈日开固收类】理财产品（代理）销售协议书》或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的《兴银理财【稳添利日盈日开固收类】理财产品（代理）销售协议书》（文件名称以代理销售机构实际编制为准），以及对该文件的有效修改或补充。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）《风险揭示书》：指管理人统一编制的《兴银理财【稳添利日盈日开固收类】理财产品风险揭示书》或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的《兴银理财【稳添利日盈日开固收类】理财产品风险揭示书》（文件名称以代理销售机构实际编制为准），以及对该文件的有效修改或补充。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）《投资者权益须知》：指管理人统一编制的《兴银理财【稳添利日盈日开固收类】理财产品投资者权益须知》或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《兴银理财【稳添利日盈日开固收类】理财产品投资者权益须知》（文件名称以代理销售机构实际编制为准），以及对该文件的有效修改或补充。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0" w:name="_Toc92377131"/>
      <w:bookmarkStart w:id="71" w:name="_Toc3887"/>
      <w:bookmarkStart w:id="72" w:name="_Toc79154665"/>
      <w:bookmarkStart w:id="73" w:name="_Toc103260529"/>
      <w:r>
        <w:rPr>
          <w:rFonts w:hint="eastAsia" w:hAnsi="宋体"/>
          <w:sz w:val="28"/>
          <w:szCs w:val="28"/>
        </w:rPr>
        <w:t>第二条  理财产品基本情况</w:t>
      </w:r>
      <w:bookmarkEnd w:id="70"/>
      <w:bookmarkEnd w:id="71"/>
      <w:bookmarkEnd w:id="72"/>
      <w:bookmarkEnd w:id="73"/>
      <w:r>
        <w:rPr>
          <w:rFonts w:hint="eastAsia" w:hAnsi="宋体"/>
          <w:sz w:val="28"/>
          <w:szCs w:val="28"/>
        </w:rPr>
        <w:t xml:space="preserve"> </w:t>
      </w:r>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sz w:val="18"/>
                <w:szCs w:val="18"/>
              </w:rPr>
              <w:t>兴银理财稳添利日盈增利56号日开固收类理财产品</w:t>
            </w:r>
            <w:r>
              <w:rPr>
                <w:rFonts w:hint="eastAsia"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兴银稳添利日盈56号</w:t>
            </w:r>
            <w:r>
              <w:rPr>
                <w:rFonts w:hint="eastAsia" w:ascii="宋体" w:hAnsi="宋体"/>
                <w:bCs/>
                <w:color w:val="000000" w:themeColor="text1"/>
                <w:sz w:val="18"/>
                <w:szCs w:val="18"/>
                <w14:textFill>
                  <w14:solidFill>
                    <w14:schemeClr w14:val="tx1"/>
                  </w14:solidFill>
                </w14:textFill>
              </w:rPr>
              <w:t>A】（适用【A】类份额）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Z7002024002072</w:t>
            </w:r>
            <w:r>
              <w:rPr>
                <w:rFonts w:hint="eastAsia" w:ascii="宋体" w:hAnsi="宋体"/>
                <w:bCs/>
                <w:color w:val="000000" w:themeColor="text1"/>
                <w:sz w:val="18"/>
                <w:szCs w:val="18"/>
                <w14:textFill>
                  <w14:solidFill>
                    <w14:schemeClr w14:val="tx1"/>
                  </w14:solidFill>
                </w14:textFill>
              </w:rPr>
              <w:t>】投资者可依据理财产品登记编码在中国理财网(www.chinawealth.com.cn）查询产品信息。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【9K921560】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【9K92156A】</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sz w:val="18"/>
                <w:szCs w:val="18"/>
              </w:rPr>
              <w:t>特别提示：当销售机构销售产品风险评级为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中国建设银行股份有限公司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w:t>
            </w:r>
            <w:r>
              <w:rPr>
                <w:rFonts w:hint="eastAsia" w:cs="Times New Roman" w:asciiTheme="minorEastAsia" w:hAnsiTheme="minorEastAsia"/>
                <w:sz w:val="18"/>
                <w:szCs w:val="18"/>
              </w:rPr>
              <w:t>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23</w:t>
            </w:r>
            <w:r>
              <w:rPr>
                <w:rFonts w:hint="eastAsia" w:cs="Times New Roman" w:asciiTheme="minorEastAsia" w:hAnsiTheme="minorEastAsia"/>
                <w:sz w:val="18"/>
                <w:szCs w:val="18"/>
              </w:rPr>
              <w:t>】日【9</w:t>
            </w:r>
            <w:r>
              <w:rPr>
                <w:rFonts w:cs="Times New Roman" w:asciiTheme="minorEastAsia" w:hAnsiTheme="minorEastAsia"/>
                <w:sz w:val="18"/>
                <w:szCs w:val="18"/>
              </w:rPr>
              <w:t>:00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【2024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29</w:t>
            </w:r>
            <w:r>
              <w:rPr>
                <w:rFonts w:hint="eastAsia" w:cs="Times New Roman" w:asciiTheme="minorEastAsia" w:hAnsiTheme="minorEastAsia"/>
                <w:sz w:val="18"/>
                <w:szCs w:val="18"/>
              </w:rPr>
              <w:t>】日【1</w:t>
            </w:r>
            <w:r>
              <w:rPr>
                <w:rFonts w:cs="Times New Roman" w:asciiTheme="minorEastAsia" w:hAnsiTheme="minorEastAsia"/>
                <w:sz w:val="18"/>
                <w:szCs w:val="18"/>
              </w:rPr>
              <w:t>7:00</w:t>
            </w:r>
            <w:r>
              <w:rPr>
                <w:rFonts w:hint="eastAsia" w:cs="Times New Roman" w:asciiTheme="minorEastAsia" w:hAnsiTheme="min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w:t>
            </w:r>
            <w:r>
              <w:rPr>
                <w:rFonts w:hint="eastAsia" w:cs="Times New Roman" w:asciiTheme="minorEastAsia" w:hAnsiTheme="minorEastAsia"/>
                <w:sz w:val="18"/>
                <w:szCs w:val="18"/>
              </w:rPr>
              <w:t>24</w:t>
            </w:r>
            <w:r>
              <w:rPr>
                <w:rFonts w:cs="Times New Roman" w:asciiTheme="minorEastAsia" w:hAnsiTheme="minorEastAsia"/>
                <w:sz w:val="18"/>
                <w:szCs w:val="18"/>
              </w:rPr>
              <w:t>】年【10</w:t>
            </w:r>
            <w:r>
              <w:rPr>
                <w:rFonts w:hint="eastAsia" w:cs="Times New Roman" w:asciiTheme="minorEastAsia" w:hAnsiTheme="minorEastAsia"/>
                <w:sz w:val="18"/>
                <w:szCs w:val="18"/>
              </w:rPr>
              <w:t>】月【</w:t>
            </w:r>
            <w:r>
              <w:rPr>
                <w:rFonts w:cs="Times New Roman" w:asciiTheme="minorEastAsia" w:hAnsiTheme="minorEastAsia"/>
                <w:sz w:val="18"/>
                <w:szCs w:val="18"/>
              </w:rPr>
              <w:t>30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cs="Times New Roman" w:asciiTheme="minorEastAsia" w:hAnsiTheme="minorEastAsia"/>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10"/>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 xml:space="preserve">-【17：00】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 xml:space="preserve">-【24：00】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10"/>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日后【1】个开放日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w:t>
            </w:r>
            <w:r>
              <w:rPr>
                <w:rFonts w:asciiTheme="majorEastAsia" w:hAnsiTheme="majorEastAsia" w:eastAsiaTheme="majorEastAsia"/>
                <w:bCs/>
                <w:sz w:val="18"/>
                <w:szCs w:val="18"/>
              </w:rPr>
              <w:t>】元；超出起点金额的部分以【0.01】元的整数</w:t>
            </w:r>
            <w:r>
              <w:rPr>
                <w:rFonts w:hint="eastAsia" w:asciiTheme="majorEastAsia" w:hAnsiTheme="majorEastAsia" w:eastAsiaTheme="majorEastAsia"/>
                <w:bCs/>
                <w:sz w:val="18"/>
                <w:szCs w:val="18"/>
              </w:rPr>
              <w:t>倍递增。</w:t>
            </w:r>
            <w:r>
              <w:rPr>
                <w:rFonts w:hint="eastAsia" w:hAnsi="宋体"/>
                <w:bCs/>
                <w:sz w:val="18"/>
                <w:szCs w:val="18"/>
              </w:rPr>
              <w:t>（适用【A】类</w:t>
            </w:r>
            <w:r>
              <w:rPr>
                <w:rFonts w:hAnsi="宋体"/>
                <w:bCs/>
                <w:sz w:val="18"/>
                <w:szCs w:val="18"/>
              </w:rPr>
              <w:t>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Ansi="宋体"/>
                <w:bCs/>
                <w:sz w:val="18"/>
                <w:szCs w:val="18"/>
              </w:rPr>
              <w:t>A</w:t>
            </w:r>
            <w:r>
              <w:rPr>
                <w:rFonts w:hint="eastAsia" w:hAnsi="宋体"/>
                <w:bCs/>
                <w:sz w:val="18"/>
                <w:szCs w:val="18"/>
              </w:rPr>
              <w:t>】类</w:t>
            </w:r>
            <w:r>
              <w:rPr>
                <w:rFonts w:hAnsi="宋体"/>
                <w:bCs/>
                <w:sz w:val="18"/>
                <w:szCs w:val="18"/>
              </w:rPr>
              <w:t>份额</w:t>
            </w:r>
            <w:r>
              <w:rPr>
                <w:rFonts w:hint="eastAsia" w:hAnsi="宋体"/>
                <w:bCs/>
                <w:sz w:val="18"/>
                <w:szCs w:val="18"/>
              </w:rPr>
              <w:t>）</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（适用【A】类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cs="仿宋_GB2312" w:asciiTheme="majorEastAsia" w:hAnsiTheme="majorEastAsia" w:eastAsiaTheme="majorEastAsia"/>
                <w:kern w:val="0"/>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：管理人对本产品设定业绩比较基准：【</w:t>
            </w:r>
            <w:r>
              <w:rPr>
                <w:rFonts w:asciiTheme="majorEastAsia" w:hAnsiTheme="majorEastAsia" w:eastAsiaTheme="majorEastAsia"/>
                <w:bCs/>
                <w:sz w:val="18"/>
                <w:szCs w:val="18"/>
              </w:rPr>
              <w:t>1.80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2.60</w:t>
            </w:r>
            <w:r>
              <w:rPr>
                <w:rFonts w:hint="eastAsia" w:asciiTheme="majorEastAsia" w:hAnsiTheme="majorEastAsia" w:eastAsiaTheme="majorEastAsia"/>
                <w:bCs/>
                <w:sz w:val="18"/>
                <w:szCs w:val="18"/>
              </w:rPr>
              <w:t>%】</w:t>
            </w:r>
            <w:r>
              <w:rPr>
                <w:rFonts w:hint="eastAsia" w:asciiTheme="majorEastAsia" w:hAnsiTheme="majorEastAsia"/>
                <w:sz w:val="18"/>
              </w:rPr>
              <w:t>；</w:t>
            </w:r>
            <w:r>
              <w:rPr>
                <w:rFonts w:hint="eastAsia" w:ascii="宋体" w:hAnsi="宋体"/>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ascii="宋体" w:hAnsi="宋体"/>
                <w:sz w:val="18"/>
                <w:szCs w:val="18"/>
              </w:rPr>
            </w:pPr>
            <w:r>
              <w:rPr>
                <w:rFonts w:hint="eastAsia" w:hAnsi="宋体"/>
                <w:bCs/>
                <w:sz w:val="18"/>
                <w:szCs w:val="18"/>
              </w:rPr>
              <w:t>（适用【A】类</w:t>
            </w:r>
            <w:r>
              <w:rPr>
                <w:rFonts w:hAnsi="宋体"/>
                <w:bCs/>
                <w:sz w:val="18"/>
                <w:szCs w:val="18"/>
              </w:rPr>
              <w:t>份额</w:t>
            </w:r>
            <w:r>
              <w:rPr>
                <w:rFonts w:hint="eastAsia" w:hAnsi="宋体"/>
                <w:bCs/>
                <w:sz w:val="18"/>
                <w:szCs w:val="18"/>
              </w:rPr>
              <w:t>）</w:t>
            </w:r>
          </w:p>
          <w:p>
            <w:pPr>
              <w:spacing w:line="360" w:lineRule="auto"/>
              <w:jc w:val="left"/>
              <w:rPr>
                <w:rFonts w:ascii="宋体" w:hAnsi="宋体"/>
                <w:b/>
                <w:bCs/>
                <w:sz w:val="18"/>
                <w:szCs w:val="18"/>
              </w:rPr>
            </w:pPr>
            <w:r>
              <w:rPr>
                <w:rFonts w:ascii="宋体" w:hAnsi="宋体"/>
                <w:b/>
                <w:bCs/>
                <w:sz w:val="18"/>
                <w:szCs w:val="18"/>
              </w:rPr>
              <w:t>1.</w:t>
            </w:r>
            <w:r>
              <w:rPr>
                <w:rFonts w:hint="eastAsia" w:ascii="宋体" w:hAnsi="宋体"/>
                <w:b/>
                <w:bCs/>
                <w:sz w:val="18"/>
                <w:szCs w:val="18"/>
              </w:rPr>
              <w:t>理财产品的费率标准</w:t>
            </w:r>
          </w:p>
          <w:p>
            <w:pPr>
              <w:spacing w:line="360" w:lineRule="auto"/>
              <w:jc w:val="left"/>
              <w:rPr>
                <w:rFonts w:ascii="宋体" w:hAnsi="宋体"/>
                <w:sz w:val="18"/>
                <w:szCs w:val="18"/>
              </w:rPr>
            </w:pPr>
            <w:r>
              <w:rPr>
                <w:rFonts w:hint="eastAsia" w:ascii="宋体" w:hAnsi="宋体"/>
                <w:b/>
                <w:bCs/>
                <w:sz w:val="18"/>
                <w:szCs w:val="18"/>
              </w:rPr>
              <w:t>（1）认购费：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（2）</w:t>
            </w:r>
            <w:r>
              <w:rPr>
                <w:rFonts w:ascii="宋体" w:hAnsi="宋体"/>
                <w:b/>
                <w:bCs/>
                <w:sz w:val="18"/>
                <w:szCs w:val="18"/>
              </w:rPr>
              <w:t>申购费：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（3）赎回费：</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（4）</w:t>
            </w:r>
            <w:r>
              <w:rPr>
                <w:rFonts w:ascii="宋体" w:hAnsi="宋体"/>
                <w:b/>
                <w:bCs/>
                <w:sz w:val="18"/>
                <w:szCs w:val="18"/>
              </w:rPr>
              <w:t>销售服</w:t>
            </w:r>
            <w:r>
              <w:rPr>
                <w:rFonts w:hint="eastAsia" w:ascii="宋体" w:hAnsi="宋体"/>
                <w:b/>
                <w:bCs/>
                <w:sz w:val="18"/>
                <w:szCs w:val="18"/>
              </w:rPr>
              <w:t>务费：</w:t>
            </w:r>
            <w:r>
              <w:rPr>
                <w:rFonts w:ascii="宋体" w:hAnsi="宋体"/>
                <w:sz w:val="18"/>
                <w:szCs w:val="18"/>
              </w:rPr>
              <w:t>年化费率</w:t>
            </w:r>
            <w:r>
              <w:rPr>
                <w:rFonts w:hint="eastAsia" w:ascii="宋体" w:hAnsi="宋体"/>
                <w:sz w:val="18"/>
                <w:szCs w:val="18"/>
              </w:rPr>
              <w:t>【0</w:t>
            </w:r>
            <w:r>
              <w:rPr>
                <w:rFonts w:ascii="宋体" w:hAnsi="宋体"/>
                <w:sz w:val="18"/>
                <w:szCs w:val="18"/>
              </w:rPr>
              <w:t>.30%</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（5）投资管理费：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w:t>
            </w:r>
            <w:r>
              <w:rPr>
                <w:rFonts w:ascii="宋体" w:hAnsi="宋体"/>
                <w:sz w:val="18"/>
                <w:szCs w:val="18"/>
              </w:rPr>
              <w:t>.30%】</w:t>
            </w:r>
            <w:r>
              <w:rPr>
                <w:rFonts w:hint="eastAsia" w:ascii="宋体" w:hAnsi="宋体"/>
                <w:sz w:val="18"/>
                <w:szCs w:val="18"/>
              </w:rPr>
              <w:t>。</w:t>
            </w:r>
          </w:p>
          <w:p>
            <w:pPr>
              <w:spacing w:line="360" w:lineRule="auto"/>
              <w:jc w:val="left"/>
              <w:rPr>
                <w:rFonts w:ascii="宋体" w:hAnsi="宋体"/>
                <w:sz w:val="18"/>
                <w:szCs w:val="18"/>
              </w:rPr>
            </w:pPr>
            <w:r>
              <w:rPr>
                <w:rFonts w:hint="eastAsia" w:ascii="宋体" w:hAnsi="宋体"/>
                <w:b/>
                <w:bCs/>
                <w:sz w:val="18"/>
                <w:szCs w:val="18"/>
              </w:rPr>
              <w:t>（6）产品托管费：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w:t>
            </w:r>
            <w:r>
              <w:rPr>
                <w:rFonts w:ascii="宋体" w:hAnsi="宋体"/>
                <w:sz w:val="18"/>
                <w:szCs w:val="18"/>
              </w:rPr>
              <w:t>.03%</w:t>
            </w:r>
            <w:r>
              <w:rPr>
                <w:rFonts w:hint="eastAsia" w:ascii="宋体" w:hAnsi="宋体"/>
                <w:sz w:val="18"/>
                <w:szCs w:val="18"/>
              </w:rPr>
              <w:t>】。</w:t>
            </w:r>
          </w:p>
          <w:p>
            <w:pPr>
              <w:widowControl/>
              <w:spacing w:line="360" w:lineRule="auto"/>
              <w:jc w:val="left"/>
              <w:rPr>
                <w:rFonts w:ascii="宋体" w:hAnsi="宋体"/>
                <w:sz w:val="18"/>
                <w:szCs w:val="18"/>
              </w:rPr>
            </w:pPr>
            <w:r>
              <w:rPr>
                <w:rFonts w:hint="eastAsia" w:ascii="宋体" w:hAnsi="宋体"/>
                <w:b/>
                <w:bCs/>
                <w:sz w:val="18"/>
                <w:szCs w:val="18"/>
              </w:rPr>
              <w:t>（7）</w:t>
            </w:r>
            <w:r>
              <w:rPr>
                <w:rFonts w:ascii="宋体" w:hAnsi="宋体"/>
                <w:b/>
                <w:bCs/>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4" w:name="_Toc92377132"/>
      <w:bookmarkStart w:id="75" w:name="_Toc22117"/>
      <w:bookmarkStart w:id="76" w:name="_Toc79154666"/>
      <w:bookmarkStart w:id="77" w:name="_Toc103260530"/>
      <w:r>
        <w:rPr>
          <w:rFonts w:ascii="Times New Roman"/>
          <w:sz w:val="30"/>
        </w:rPr>
        <w:t>第</w:t>
      </w:r>
      <w:r>
        <w:rPr>
          <w:rFonts w:hint="eastAsia" w:ascii="Times New Roman"/>
          <w:sz w:val="30"/>
        </w:rPr>
        <w:t>三条</w:t>
      </w:r>
      <w:r>
        <w:rPr>
          <w:rFonts w:ascii="Times New Roman"/>
          <w:sz w:val="30"/>
        </w:rPr>
        <w:t xml:space="preserve">  </w:t>
      </w:r>
      <w:bookmarkStart w:id="78" w:name="_Toc79392573"/>
      <w:r>
        <w:rPr>
          <w:rFonts w:hint="eastAsia" w:ascii="Times New Roman"/>
          <w:sz w:val="30"/>
        </w:rPr>
        <w:t>理财产品的认购</w:t>
      </w:r>
      <w:bookmarkEnd w:id="74"/>
      <w:bookmarkEnd w:id="75"/>
      <w:bookmarkEnd w:id="76"/>
      <w:bookmarkEnd w:id="77"/>
    </w:p>
    <w:p>
      <w:pPr>
        <w:spacing w:line="360" w:lineRule="auto"/>
        <w:ind w:firstLine="361" w:firstLineChars="200"/>
        <w:rPr>
          <w:rFonts w:asciiTheme="minorEastAsia" w:hAnsiTheme="minorEastAsia"/>
          <w:b/>
          <w:bCs/>
          <w:sz w:val="18"/>
          <w:szCs w:val="18"/>
        </w:rPr>
      </w:pPr>
      <w:bookmarkStart w:id="79" w:name="_Hlt88031774"/>
      <w:bookmarkEnd w:id="79"/>
      <w:bookmarkStart w:id="80"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1" w:name="_Toc79154667"/>
      <w:bookmarkStart w:id="82" w:name="_Toc92377133"/>
      <w:bookmarkStart w:id="83" w:name="_Toc103260531"/>
      <w:bookmarkStart w:id="84" w:name="_Toc27778"/>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1"/>
      <w:bookmarkEnd w:id="82"/>
      <w:bookmarkEnd w:id="83"/>
      <w:bookmarkEnd w:id="84"/>
    </w:p>
    <w:bookmarkEnd w:id="80"/>
    <w:p>
      <w:pPr>
        <w:spacing w:line="360" w:lineRule="auto"/>
        <w:ind w:firstLine="420" w:firstLineChars="200"/>
      </w:pP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7"/>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8"/>
    <w:p>
      <w:pPr>
        <w:pStyle w:val="2"/>
        <w:spacing w:before="0" w:after="0" w:line="360" w:lineRule="auto"/>
        <w:jc w:val="center"/>
        <w:rPr>
          <w:rFonts w:ascii="Times New Roman"/>
          <w:sz w:val="30"/>
        </w:rPr>
      </w:pPr>
      <w:bookmarkStart w:id="85" w:name="_Toc27226"/>
      <w:bookmarkStart w:id="86" w:name="_Toc103260532"/>
      <w:bookmarkStart w:id="87" w:name="_Toc27189"/>
      <w:bookmarkStart w:id="88" w:name="_Toc74065741"/>
      <w:bookmarkStart w:id="89" w:name="_Toc15203"/>
      <w:bookmarkStart w:id="90" w:name="_Toc29948"/>
      <w:bookmarkStart w:id="91" w:name="_Toc24347"/>
      <w:bookmarkStart w:id="92" w:name="_Toc29784"/>
      <w:bookmarkStart w:id="93" w:name="_Toc90742688"/>
      <w:bookmarkStart w:id="94" w:name="_Toc6714"/>
      <w:bookmarkStart w:id="95" w:name="_Toc79154668"/>
      <w:bookmarkStart w:id="96" w:name="_Toc90742321"/>
      <w:bookmarkStart w:id="97" w:name="_Toc22074"/>
      <w:bookmarkStart w:id="98" w:name="_Toc92377134"/>
      <w:bookmarkStart w:id="99" w:name="_Toc3266"/>
      <w:bookmarkStart w:id="100" w:name="_Toc7151"/>
      <w:bookmarkStart w:id="101" w:name="_Toc90742390"/>
      <w:bookmarkStart w:id="102" w:name="_Toc1626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本产品100%投资于债权类资产。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3" w:name="_Toc79154669"/>
      <w:bookmarkStart w:id="104" w:name="_Toc14893"/>
      <w:bookmarkStart w:id="105" w:name="_Toc18797"/>
      <w:bookmarkStart w:id="106" w:name="_Toc92377135"/>
      <w:bookmarkStart w:id="107" w:name="_Toc141703885"/>
      <w:bookmarkStart w:id="108" w:name="_Toc16372"/>
      <w:bookmarkStart w:id="109" w:name="_Toc4741"/>
      <w:bookmarkStart w:id="110" w:name="_Toc74065742"/>
      <w:bookmarkStart w:id="111" w:name="_Toc17912"/>
      <w:bookmarkStart w:id="112" w:name="_Toc21988"/>
      <w:bookmarkStart w:id="113" w:name="_Toc18329"/>
      <w:bookmarkStart w:id="114" w:name="_Toc103260533"/>
      <w:bookmarkStart w:id="115" w:name="_Toc139991735"/>
      <w:bookmarkStart w:id="116" w:name="_Toc18526"/>
      <w:bookmarkStart w:id="117" w:name="_Toc7848"/>
      <w:bookmarkStart w:id="118" w:name="_Toc1823"/>
      <w:bookmarkStart w:id="119" w:name="_Toc2698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pStyle w:val="17"/>
        <w:spacing w:line="360" w:lineRule="auto"/>
        <w:ind w:firstLine="361" w:firstLineChars="200"/>
        <w:rPr>
          <w:rFonts w:asciiTheme="majorEastAsia" w:hAnsiTheme="majorEastAsia" w:eastAsiaTheme="majorEastAsia"/>
          <w:b/>
          <w:color w:val="auto"/>
          <w:sz w:val="18"/>
          <w:szCs w:val="18"/>
        </w:rPr>
      </w:pPr>
      <w:bookmarkStart w:id="120"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0"/>
    <w:p>
      <w:pPr>
        <w:pStyle w:val="2"/>
        <w:spacing w:before="0" w:after="0" w:line="360" w:lineRule="auto"/>
        <w:jc w:val="center"/>
        <w:rPr>
          <w:rFonts w:ascii="Times New Roman"/>
          <w:sz w:val="28"/>
          <w:szCs w:val="28"/>
        </w:rPr>
      </w:pPr>
      <w:bookmarkStart w:id="121" w:name="_Toc11569"/>
      <w:bookmarkStart w:id="122" w:name="_Toc92377136"/>
      <w:bookmarkStart w:id="123" w:name="_Toc83391971"/>
      <w:bookmarkStart w:id="124" w:name="_Toc103260534"/>
      <w:bookmarkStart w:id="125" w:name="_Toc79154670"/>
      <w:bookmarkStart w:id="126" w:name="_Toc139991736"/>
      <w:bookmarkStart w:id="127" w:name="_Toc17244"/>
      <w:bookmarkStart w:id="128" w:name="_Toc48649707"/>
      <w:bookmarkStart w:id="129" w:name="_Toc4003"/>
      <w:bookmarkStart w:id="130" w:name="_Toc123112234"/>
      <w:bookmarkStart w:id="131" w:name="_Toc141703886"/>
      <w:bookmarkStart w:id="132" w:name="_Toc7920"/>
      <w:bookmarkStart w:id="133" w:name="_Toc20733"/>
      <w:bookmarkStart w:id="134" w:name="_Toc23822"/>
      <w:bookmarkStart w:id="135" w:name="_Toc610"/>
      <w:bookmarkStart w:id="136" w:name="_Toc123102453"/>
      <w:bookmarkStart w:id="137" w:name="_Toc1270"/>
      <w:bookmarkStart w:id="138" w:name="_Toc98560352"/>
      <w:bookmarkStart w:id="139" w:name="_Toc1427"/>
      <w:bookmarkStart w:id="140" w:name="_Toc10463"/>
      <w:bookmarkStart w:id="141" w:name="_Toc79392606"/>
      <w:bookmarkStart w:id="142" w:name="_Toc123051452"/>
      <w:bookmarkStart w:id="143" w:name="_Toc74065743"/>
      <w:bookmarkStart w:id="144" w:name="_Toc23261"/>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1"/>
      <w:bookmarkEnd w:id="122"/>
      <w:bookmarkEnd w:id="123"/>
      <w:bookmarkEnd w:id="124"/>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sz w:val="18"/>
          <w:szCs w:val="18"/>
        </w:rPr>
        <w:t>本产品存续期间，每周进行一次估值。如遇产品申购日/赎回日、季度、半年度、年度末等时间节点管理人将增加估值日。</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3601"/>
      <w:bookmarkStart w:id="147" w:name="_Toc123102454"/>
      <w:bookmarkStart w:id="148" w:name="_Toc79154671"/>
      <w:bookmarkStart w:id="149" w:name="_Toc31235"/>
      <w:bookmarkStart w:id="150" w:name="_Toc12245"/>
      <w:bookmarkStart w:id="151" w:name="_Toc14835"/>
      <w:bookmarkStart w:id="152" w:name="_Toc92377137"/>
      <w:bookmarkStart w:id="153" w:name="_Toc139991737"/>
      <w:bookmarkStart w:id="154" w:name="_Toc123051453"/>
      <w:bookmarkStart w:id="155" w:name="_Toc26207"/>
      <w:bookmarkStart w:id="156" w:name="_Toc29251"/>
      <w:bookmarkStart w:id="157" w:name="_Toc103260535"/>
      <w:bookmarkStart w:id="158" w:name="_Toc15143"/>
      <w:bookmarkStart w:id="159" w:name="_Toc18706"/>
      <w:bookmarkStart w:id="160" w:name="_Toc98560353"/>
      <w:bookmarkStart w:id="161" w:name="_Toc31653"/>
      <w:bookmarkStart w:id="162" w:name="_Toc74065744"/>
      <w:bookmarkStart w:id="163" w:name="_Toc31644"/>
      <w:bookmarkStart w:id="164" w:name="_Toc141703887"/>
      <w:bookmarkStart w:id="165" w:name="_Toc6405"/>
      <w:bookmarkStart w:id="166" w:name="_Toc123112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Start w:id="167" w:name="_Hlt55355235"/>
      <w:bookmarkEnd w:id="167"/>
      <w:bookmarkStart w:id="168" w:name="_Toc15118234"/>
      <w:bookmarkStart w:id="169" w:name="_Toc57530239"/>
      <w:bookmarkStart w:id="170" w:name="_Toc523711668"/>
      <w:bookmarkStart w:id="171" w:name="_Toc79392580"/>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8"/>
    <w:bookmarkEnd w:id="169"/>
    <w:bookmarkEnd w:id="170"/>
    <w:bookmarkEnd w:id="171"/>
    <w:p>
      <w:pPr>
        <w:pStyle w:val="2"/>
        <w:spacing w:before="0" w:after="0" w:line="360" w:lineRule="auto"/>
        <w:jc w:val="center"/>
        <w:rPr>
          <w:rFonts w:ascii="Times New Roman"/>
          <w:sz w:val="30"/>
        </w:rPr>
      </w:pPr>
      <w:bookmarkStart w:id="172" w:name="_Hlt88897298"/>
      <w:bookmarkEnd w:id="172"/>
      <w:bookmarkStart w:id="173" w:name="_Hlt88825574"/>
      <w:bookmarkEnd w:id="173"/>
      <w:bookmarkStart w:id="174" w:name="_Toc20951"/>
      <w:bookmarkStart w:id="175" w:name="_Toc11030"/>
      <w:bookmarkStart w:id="176" w:name="_Toc74065745"/>
      <w:bookmarkStart w:id="177" w:name="_Toc6447"/>
      <w:bookmarkStart w:id="178" w:name="_Toc123102455"/>
      <w:bookmarkStart w:id="179" w:name="_Toc123051454"/>
      <w:bookmarkStart w:id="180" w:name="_Toc103260536"/>
      <w:bookmarkStart w:id="181" w:name="_Toc123112236"/>
      <w:bookmarkStart w:id="182" w:name="_Toc7058"/>
      <w:bookmarkStart w:id="183" w:name="_Toc10650"/>
      <w:bookmarkStart w:id="184" w:name="_Toc139991738"/>
      <w:bookmarkStart w:id="185" w:name="_Toc18567"/>
      <w:bookmarkStart w:id="186" w:name="_Toc141703888"/>
      <w:bookmarkStart w:id="187" w:name="_Toc79392583"/>
      <w:bookmarkStart w:id="188" w:name="_Toc98560354"/>
      <w:bookmarkStart w:id="189" w:name="_Toc3771"/>
      <w:bookmarkStart w:id="190" w:name="_Toc79154672"/>
      <w:bookmarkStart w:id="191" w:name="_Toc4559"/>
      <w:bookmarkStart w:id="192" w:name="_Toc3321"/>
      <w:bookmarkStart w:id="193" w:name="_Toc92377138"/>
      <w:bookmarkStart w:id="194" w:name="_Toc9706"/>
      <w:bookmarkStart w:id="195" w:name="_Toc257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6" w:name="_Toc3963"/>
      <w:bookmarkStart w:id="197" w:name="_Toc1745"/>
      <w:r>
        <w:br w:type="page"/>
      </w:r>
      <w:bookmarkStart w:id="198" w:name="_Toc74065746"/>
      <w:bookmarkStart w:id="199" w:name="_Toc16164"/>
      <w:bookmarkStart w:id="200" w:name="_Toc31821"/>
      <w:bookmarkStart w:id="201" w:name="_Toc103260537"/>
      <w:bookmarkStart w:id="202" w:name="_Toc123102456"/>
      <w:bookmarkStart w:id="203" w:name="_Toc79154673"/>
      <w:bookmarkStart w:id="204" w:name="_Toc725"/>
      <w:bookmarkStart w:id="205" w:name="_Toc21735"/>
      <w:bookmarkStart w:id="206" w:name="_Toc19648"/>
      <w:bookmarkStart w:id="207" w:name="_Toc3572"/>
      <w:bookmarkStart w:id="208" w:name="_Toc141703889"/>
      <w:bookmarkStart w:id="209" w:name="_Toc92377139"/>
      <w:bookmarkStart w:id="210" w:name="_Toc18206"/>
      <w:bookmarkStart w:id="211" w:name="_Toc3080"/>
      <w:bookmarkStart w:id="212" w:name="_Toc98560355"/>
      <w:bookmarkStart w:id="213" w:name="_Toc123051455"/>
      <w:bookmarkStart w:id="214" w:name="_Toc139991739"/>
      <w:bookmarkStart w:id="215" w:name="_Toc10398"/>
      <w:bookmarkStart w:id="216" w:name="_Toc123112237"/>
      <w:r>
        <w:rPr>
          <w:rFonts w:hint="eastAsia"/>
          <w:sz w:val="30"/>
        </w:rPr>
        <w:t>第十条</w:t>
      </w:r>
      <w:r>
        <w:rPr>
          <w:sz w:val="30"/>
        </w:rPr>
        <w:t xml:space="preserve">  </w:t>
      </w:r>
      <w:r>
        <w:rPr>
          <w:rFonts w:hint="eastAsia"/>
          <w:sz w:val="30"/>
        </w:rPr>
        <w:t>理财产品的终止与清算</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pPr>
        <w:spacing w:line="360" w:lineRule="auto"/>
        <w:ind w:firstLine="361" w:firstLineChars="200"/>
        <w:rPr>
          <w:rFonts w:asciiTheme="majorEastAsia" w:hAnsiTheme="majorEastAsia" w:eastAsiaTheme="majorEastAsia"/>
          <w:b/>
          <w:bCs/>
          <w:sz w:val="18"/>
          <w:szCs w:val="18"/>
        </w:rPr>
      </w:pPr>
      <w:bookmarkStart w:id="217" w:name="_Toc15118245"/>
      <w:bookmarkStart w:id="218" w:name="_Toc57530252"/>
      <w:bookmarkStart w:id="219"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17"/>
    <w:bookmarkEnd w:id="218"/>
    <w:bookmarkEnd w:id="219"/>
    <w:p>
      <w:pPr>
        <w:pStyle w:val="2"/>
        <w:spacing w:before="0" w:after="0" w:line="360" w:lineRule="auto"/>
        <w:jc w:val="center"/>
        <w:rPr>
          <w:rFonts w:ascii="Times New Roman"/>
          <w:sz w:val="18"/>
          <w:szCs w:val="18"/>
        </w:rPr>
      </w:pPr>
      <w:r>
        <w:rPr>
          <w:rFonts w:ascii="Times New Roman"/>
          <w:b w:val="0"/>
          <w:bCs w:val="0"/>
          <w:kern w:val="2"/>
        </w:rPr>
        <w:br w:type="page"/>
      </w:r>
      <w:bookmarkStart w:id="220" w:name="_Toc23820"/>
      <w:bookmarkStart w:id="221" w:name="_Toc103260538"/>
      <w:bookmarkStart w:id="222" w:name="_Toc92377140"/>
      <w:bookmarkStart w:id="223" w:name="_Toc3329"/>
      <w:bookmarkStart w:id="224" w:name="_Toc141703890"/>
      <w:bookmarkStart w:id="225" w:name="_Toc83391975"/>
      <w:bookmarkStart w:id="226" w:name="_Toc98560356"/>
      <w:bookmarkStart w:id="227" w:name="_Toc17920"/>
      <w:bookmarkStart w:id="228" w:name="_Toc739"/>
      <w:bookmarkStart w:id="229" w:name="_Toc79154674"/>
      <w:bookmarkStart w:id="230" w:name="_Toc32092"/>
      <w:bookmarkStart w:id="231" w:name="_Toc8791"/>
      <w:bookmarkStart w:id="232" w:name="_Toc123051456"/>
      <w:bookmarkStart w:id="233" w:name="_Toc29408"/>
      <w:bookmarkStart w:id="234" w:name="_Toc32584"/>
      <w:bookmarkStart w:id="235" w:name="_Toc123112238"/>
      <w:bookmarkStart w:id="236" w:name="_Toc74065747"/>
      <w:bookmarkStart w:id="237" w:name="_Toc123102457"/>
      <w:bookmarkStart w:id="238" w:name="_Toc21237"/>
      <w:bookmarkStart w:id="239" w:name="_Toc48649708"/>
      <w:bookmarkStart w:id="240" w:name="_Toc139991740"/>
      <w:bookmarkStart w:id="241" w:name="_Toc5170"/>
      <w:bookmarkStart w:id="242" w:name="_Toc79392622"/>
      <w:bookmarkStart w:id="243" w:name="_Toc1719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20"/>
      <w:bookmarkEnd w:id="221"/>
      <w:bookmarkEnd w:id="222"/>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44" w:name="_Toc9986"/>
      <w:bookmarkStart w:id="245" w:name="_Toc92377141"/>
      <w:bookmarkStart w:id="246" w:name="_Toc103260539"/>
      <w:bookmarkStart w:id="247"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4"/>
      <w:bookmarkEnd w:id="245"/>
      <w:bookmarkEnd w:id="246"/>
      <w:bookmarkEnd w:id="247"/>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Pr>
        <w:sectPr>
          <w:headerReference r:id="rId5" w:type="default"/>
          <w:footerReference r:id="rId6" w:type="default"/>
          <w:pgSz w:w="11906" w:h="16838"/>
          <w:pgMar w:top="1276" w:right="1800" w:bottom="1418" w:left="1800" w:header="567" w:footer="850" w:gutter="0"/>
          <w:cols w:space="425" w:num="1"/>
          <w:docGrid w:type="lines" w:linePitch="312" w:charSpace="0"/>
        </w:sectPr>
      </w:pPr>
    </w:p>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w:t>
      </w:r>
      <w:r>
        <w:rPr>
          <w:rStyle w:val="12"/>
          <w:rFonts w:hint="eastAsia" w:ascii="黑体" w:hAnsi="黑体" w:eastAsia="黑体"/>
          <w:sz w:val="28"/>
          <w:szCs w:val="28"/>
        </w:rPr>
        <w:t>日盈</w:t>
      </w:r>
      <w:r>
        <w:rPr>
          <w:rFonts w:hint="eastAsia" w:ascii="黑体" w:hAnsi="黑体" w:eastAsia="黑体"/>
          <w:b/>
          <w:sz w:val="28"/>
          <w:szCs w:val="28"/>
        </w:rPr>
        <w:t>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Pr>
        <w:sectPr>
          <w:headerReference r:id="rId7" w:type="default"/>
          <w:footerReference r:id="rId8" w:type="default"/>
          <w:pgSz w:w="11906" w:h="16838"/>
          <w:pgMar w:top="1440" w:right="1800" w:bottom="1440" w:left="1800" w:header="567" w:footer="964" w:gutter="0"/>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w:t>
      </w:r>
      <w:r>
        <w:rPr>
          <w:rStyle w:val="12"/>
          <w:rFonts w:hint="eastAsia" w:ascii="黑体" w:hAnsi="黑体" w:eastAsia="黑体"/>
          <w:sz w:val="28"/>
          <w:szCs w:val="28"/>
        </w:rPr>
        <w:t>日盈</w:t>
      </w:r>
      <w:r>
        <w:rPr>
          <w:rFonts w:hint="eastAsia" w:ascii="黑体" w:hAnsi="黑体" w:eastAsia="黑体"/>
          <w:b/>
          <w:bCs/>
          <w:sz w:val="28"/>
          <w:szCs w:val="28"/>
        </w:rPr>
        <w:t>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ascii="宋体" w:hAnsi="宋体" w:cs="仿宋_GB2312"/>
          <w:kern w:val="0"/>
          <w:sz w:val="18"/>
          <w:szCs w:val="18"/>
        </w:rPr>
        <w:t>兴银理财稳添利日盈增利56号日开固收类理财产品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兴银稳添利日盈56号A</w:t>
      </w:r>
      <w:r>
        <w:rPr>
          <w:rFonts w:hint="eastAsia" w:asciiTheme="majorEastAsia" w:hAnsiTheme="majorEastAsia" w:eastAsiaTheme="majorEastAsia"/>
          <w:bCs/>
          <w:kern w:val="0"/>
          <w:sz w:val="18"/>
          <w:szCs w:val="18"/>
        </w:rPr>
        <w:t>】（适用【A】类份额</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cs="仿宋_GB2312"/>
          <w:kern w:val="0"/>
          <w:sz w:val="18"/>
          <w:szCs w:val="18"/>
        </w:rPr>
        <w:t>Z7002024002072</w:t>
      </w:r>
      <w:r>
        <w:rPr>
          <w:rFonts w:hint="eastAsia" w:ascii="宋体" w:hAnsi="宋体" w:cs="仿宋_GB2312"/>
          <w:kern w:val="0"/>
          <w:sz w:val="18"/>
          <w:szCs w:val="18"/>
        </w:rPr>
        <w:t xml:space="preserve">】 </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15"/>
        <w:ind w:firstLine="426" w:firstLineChars="0"/>
        <w:rPr>
          <w:rFonts w:ascii="宋体" w:hAnsi="宋体"/>
          <w:sz w:val="18"/>
          <w:szCs w:val="18"/>
        </w:rPr>
      </w:pPr>
      <w:r>
        <w:rPr>
          <w:rFonts w:hint="eastAsia" w:ascii="宋体" w:hAnsi="宋体"/>
          <w:sz w:val="18"/>
          <w:szCs w:val="18"/>
        </w:rPr>
        <w:t>1.拟投资市场和资产的风险：</w:t>
      </w:r>
    </w:p>
    <w:p>
      <w:pPr>
        <w:pStyle w:val="15"/>
        <w:ind w:firstLine="426" w:firstLineChars="0"/>
        <w:rPr>
          <w:rFonts w:ascii="宋体" w:hAnsi="宋体"/>
          <w:sz w:val="18"/>
          <w:szCs w:val="18"/>
        </w:rPr>
      </w:pPr>
      <w:r>
        <w:rPr>
          <w:rFonts w:hint="eastAsia" w:ascii="宋体" w:hAnsi="宋体"/>
          <w:sz w:val="18"/>
          <w:szCs w:val="18"/>
        </w:rPr>
        <w:t>（1）投资债权类资产的风险</w:t>
      </w:r>
    </w:p>
    <w:p>
      <w:pPr>
        <w:pStyle w:val="15"/>
        <w:ind w:firstLine="426" w:firstLineChars="0"/>
        <w:rPr>
          <w:rFonts w:ascii="宋体" w:hAnsi="宋体"/>
          <w:sz w:val="18"/>
          <w:szCs w:val="18"/>
        </w:rPr>
      </w:pPr>
      <w:r>
        <w:rPr>
          <w:rFonts w:hint="eastAsia" w:ascii="宋体" w:hAnsi="宋体"/>
          <w:sz w:val="18"/>
          <w:szCs w:val="18"/>
        </w:rPr>
        <w:t>1）投资标准化债权类资产的风险</w:t>
      </w:r>
    </w:p>
    <w:p>
      <w:pPr>
        <w:pStyle w:val="15"/>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10"/>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tabs>
          <w:tab w:val="left" w:pos="2100"/>
        </w:tabs>
        <w:rPr>
          <w:rFonts w:ascii="宋体" w:hAnsi="宋体" w:cs="Arial"/>
          <w:sz w:val="24"/>
        </w:rPr>
      </w:pPr>
      <w:r>
        <w:rPr>
          <w:rFonts w:ascii="宋体" w:hAnsi="宋体" w:cs="Arial"/>
          <w:sz w:val="24"/>
        </w:rPr>
        <w:tab/>
      </w: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b/>
          <w:sz w:val="28"/>
          <w:szCs w:val="28"/>
        </w:rPr>
      </w:pPr>
    </w:p>
    <w:p>
      <w:pPr>
        <w:sectPr>
          <w:headerReference r:id="rId9" w:type="default"/>
          <w:footerReference r:id="rId10" w:type="default"/>
          <w:pgSz w:w="11906" w:h="16838"/>
          <w:pgMar w:top="1440" w:right="1800" w:bottom="1440" w:left="1800" w:header="567" w:footer="964" w:gutter="0"/>
          <w:cols w:space="425" w:num="1"/>
          <w:docGrid w:type="lines" w:linePitch="312" w:charSpace="0"/>
        </w:sectPr>
      </w:pP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兴银理财【稳添利日盈日开固收类】理财产品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hint="eastAsia" w:ascii="宋体" w:hAnsi="宋体"/>
          <w:sz w:val="18"/>
          <w:szCs w:val="18"/>
        </w:rPr>
      </w:pPr>
      <w:r>
        <w:rPr>
          <w:rFonts w:hint="eastAsia" w:ascii="宋体" w:hAnsi="宋体"/>
          <w:sz w:val="18"/>
          <w:szCs w:val="18"/>
        </w:rPr>
        <w:t>3、</w:t>
      </w:r>
      <w:r>
        <w:rPr>
          <w:rFonts w:hint="eastAsia" w:ascii="宋体" w:hAnsi="宋体"/>
          <w:sz w:val="18"/>
          <w:szCs w:val="18"/>
          <w:lang w:val="en-US" w:eastAsia="zh-CN"/>
        </w:rPr>
        <w:t>销售机构：</w:t>
      </w:r>
      <w:r>
        <w:rPr>
          <w:rFonts w:hint="eastAsia" w:ascii="宋体" w:hAnsi="宋体"/>
          <w:sz w:val="18"/>
          <w:szCs w:val="18"/>
        </w:rPr>
        <w:t>【        】</w:t>
      </w:r>
    </w:p>
    <w:p>
      <w:pPr>
        <w:ind w:firstLine="360" w:firstLineChars="200"/>
        <w:rPr>
          <w:rFonts w:ascii="宋体" w:hAnsi="宋体"/>
          <w:sz w:val="18"/>
          <w:szCs w:val="18"/>
        </w:rPr>
      </w:pPr>
      <w:r>
        <w:rPr>
          <w:rFonts w:hint="eastAsia" w:ascii="宋体" w:hAnsi="宋体"/>
          <w:sz w:val="18"/>
          <w:szCs w:val="18"/>
          <w:lang w:eastAsia="zh-CN"/>
        </w:rPr>
        <w:t>【】</w:t>
      </w: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兴银理财【稳添利日盈日开固收类】理财产品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w:t>
      </w:r>
      <w:r>
        <w:rPr>
          <w:rFonts w:ascii="宋体" w:hAnsi="宋体"/>
          <w:sz w:val="18"/>
          <w:szCs w:val="18"/>
        </w:rPr>
        <w:t>1-C5</w:t>
      </w:r>
      <w:r>
        <w:rPr>
          <w:rFonts w:hint="eastAsia" w:ascii="宋体" w:hAnsi="宋体"/>
          <w:sz w:val="18"/>
          <w:szCs w:val="18"/>
        </w:rPr>
        <w:t>】</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5</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9"/>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16"/>
        <w:gridCol w:w="4814"/>
        <w:gridCol w:w="285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兴业银行总行消费者投诉受理邮箱：【</w:t>
      </w:r>
      <w:r>
        <w:fldChar w:fldCharType="begin"/>
      </w:r>
      <w:r>
        <w:instrText xml:space="preserve"> HYPERLINK "mailto:95561@cib.com.cn】" </w:instrText>
      </w:r>
      <w:r>
        <w:fldChar w:fldCharType="separate"/>
      </w:r>
      <w:r>
        <w:rPr>
          <w:rStyle w:val="13"/>
          <w:rFonts w:hint="eastAsia" w:ascii="宋体" w:hAnsi="宋体"/>
          <w:sz w:val="18"/>
          <w:szCs w:val="18"/>
        </w:rPr>
        <w:t>9</w:t>
      </w:r>
      <w:r>
        <w:rPr>
          <w:rStyle w:val="13"/>
          <w:rFonts w:ascii="宋体" w:hAnsi="宋体"/>
          <w:sz w:val="18"/>
          <w:szCs w:val="18"/>
        </w:rPr>
        <w:t>5561</w:t>
      </w:r>
      <w:r>
        <w:rPr>
          <w:rStyle w:val="13"/>
          <w:rFonts w:hint="eastAsia" w:ascii="宋体" w:hAnsi="宋体"/>
          <w:sz w:val="18"/>
          <w:szCs w:val="18"/>
        </w:rPr>
        <w:t>@</w:t>
      </w:r>
      <w:r>
        <w:rPr>
          <w:rStyle w:val="13"/>
          <w:rFonts w:asciiTheme="minorEastAsia" w:hAnsiTheme="minorEastAsia"/>
          <w:sz w:val="18"/>
          <w:szCs w:val="18"/>
        </w:rPr>
        <w:t>cib.com.cn</w:t>
      </w:r>
      <w:r>
        <w:rPr>
          <w:rStyle w:val="13"/>
          <w:rFonts w:hint="eastAsia" w:ascii="宋体" w:hAnsi="宋体"/>
          <w:sz w:val="18"/>
          <w:szCs w:val="18"/>
        </w:rPr>
        <w:t>】</w:t>
      </w:r>
      <w:r>
        <w:rPr>
          <w:rStyle w:val="13"/>
          <w:rFonts w:hint="eastAsia" w:ascii="宋体" w:hAnsi="宋体"/>
          <w:sz w:val="18"/>
          <w:szCs w:val="18"/>
        </w:rPr>
        <w:fldChar w:fldCharType="end"/>
      </w:r>
      <w:r>
        <w:rPr>
          <w:rFonts w:hint="eastAsia" w:ascii="宋体" w:hAnsi="宋体"/>
          <w:sz w:val="18"/>
          <w:szCs w:val="18"/>
        </w:rPr>
        <w:t>。</w:t>
      </w:r>
    </w:p>
    <w:p>
      <w:pPr>
        <w:ind w:firstLine="360" w:firstLineChars="200"/>
        <w:rPr>
          <w:rFonts w:hint="eastAsia" w:ascii="宋体" w:hAnsi="宋体"/>
          <w:sz w:val="18"/>
          <w:szCs w:val="18"/>
        </w:rPr>
      </w:pPr>
      <w:r>
        <w:rPr>
          <w:rFonts w:hint="eastAsia" w:ascii="宋体" w:hAnsi="宋体"/>
          <w:sz w:val="18"/>
          <w:szCs w:val="18"/>
        </w:rPr>
        <w:t>3、</w:t>
      </w:r>
      <w:r>
        <w:rPr>
          <w:rFonts w:hint="eastAsia" w:ascii="宋体" w:hAnsi="宋体"/>
          <w:sz w:val="18"/>
          <w:szCs w:val="18"/>
          <w:lang w:val="en-US" w:eastAsia="zh-CN"/>
        </w:rPr>
        <w:t>销售机构：</w:t>
      </w:r>
      <w:r>
        <w:rPr>
          <w:rFonts w:hint="eastAsia" w:ascii="宋体" w:hAnsi="宋体"/>
          <w:sz w:val="18"/>
          <w:szCs w:val="18"/>
        </w:rPr>
        <w:t>【        】</w:t>
      </w:r>
    </w:p>
    <w:p>
      <w:pPr>
        <w:ind w:firstLine="360" w:firstLineChars="200"/>
        <w:rPr>
          <w:rFonts w:ascii="宋体" w:hAnsi="宋体"/>
          <w:sz w:val="18"/>
          <w:szCs w:val="18"/>
        </w:rPr>
      </w:pPr>
      <w:r>
        <w:rPr>
          <w:rFonts w:hint="eastAsia" w:ascii="宋体" w:hAnsi="宋体"/>
          <w:sz w:val="18"/>
          <w:szCs w:val="18"/>
          <w:lang w:eastAsia="zh-CN"/>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兴银理财【稳添利日盈日开固收类】理财产品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hint="eastAsia" w:ascii="宋体" w:hAnsi="宋体"/>
          <w:sz w:val="18"/>
          <w:szCs w:val="18"/>
        </w:rPr>
      </w:pPr>
      <w:r>
        <w:rPr>
          <w:rFonts w:hint="eastAsia" w:ascii="宋体" w:hAnsi="宋体"/>
          <w:sz w:val="18"/>
          <w:szCs w:val="18"/>
        </w:rPr>
        <w:t>3、</w:t>
      </w:r>
      <w:r>
        <w:rPr>
          <w:rFonts w:hint="eastAsia" w:ascii="宋体" w:hAnsi="宋体"/>
          <w:sz w:val="18"/>
          <w:szCs w:val="18"/>
          <w:lang w:val="en-US" w:eastAsia="zh-CN"/>
        </w:rPr>
        <w:t>销售机构：</w:t>
      </w:r>
      <w:r>
        <w:rPr>
          <w:rFonts w:hint="eastAsia" w:ascii="宋体" w:hAnsi="宋体"/>
          <w:sz w:val="18"/>
          <w:szCs w:val="18"/>
        </w:rPr>
        <w:t>【        】</w:t>
      </w:r>
    </w:p>
    <w:p>
      <w:pPr>
        <w:ind w:firstLine="360" w:firstLineChars="200"/>
        <w:rPr>
          <w:rFonts w:hint="eastAsia" w:ascii="宋体" w:hAnsi="宋体" w:eastAsia="宋体"/>
          <w:sz w:val="18"/>
          <w:szCs w:val="18"/>
          <w:lang w:eastAsia="zh-CN"/>
        </w:rPr>
      </w:pPr>
      <w:r>
        <w:rPr>
          <w:rFonts w:hint="eastAsia" w:ascii="宋体" w:hAnsi="宋体"/>
          <w:sz w:val="18"/>
          <w:szCs w:val="18"/>
          <w:lang w:eastAsia="zh-CN"/>
        </w:rPr>
        <w:t>【】</w:t>
      </w:r>
    </w:p>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bookmarkStart w:id="248" w:name="_GoBack"/>
      <w:bookmarkEnd w:id="248"/>
    </w:p>
    <w:sectPr>
      <w:headerReference r:id="rId11"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36</w:t>
    </w:r>
    <w:r>
      <w:rPr>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5"/>
      <w:jc w:val="right"/>
      <w:rPr>
        <w:rFonts w:ascii="Times New Roman" w:hAnsi="Times New Roman"/>
        <w:b/>
      </w:rPr>
    </w:pPr>
    <w:r>
      <w:rPr>
        <w:rFonts w:hint="eastAsia" w:ascii="Times New Roman" w:hAnsi="Times New Roman"/>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D160C4"/>
    <w:rsid w:val="2BBE5BA7"/>
    <w:rsid w:val="637F58C5"/>
    <w:rsid w:val="7C32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48319</Words>
  <Characters>49159</Characters>
  <Lines>0</Lines>
  <Paragraphs>0</Paragraphs>
  <TotalTime>1</TotalTime>
  <ScaleCrop>false</ScaleCrop>
  <LinksUpToDate>false</LinksUpToDate>
  <CharactersWithSpaces>50426</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2025-06-06T03:06:00Z</dcterms:created>
  <dc:creator>cib</dc:creator>
  <cp:lastModifiedBy>cib</cp:lastModifiedBy>
  <dcterms:modified xsi:type="dcterms:W3CDTF">2025-06-25T01:31:13Z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