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98天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6113cb9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6113cb96"/>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c6871d61"/>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c6871d61"/>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e9396efd"/>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南银理财珠联璧合鑫逸稳三个月69期封闭式公募人民币理财产品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ZZ700322400665</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Z7003225000024(投资者可依据该编码在中国理财网www.chinawealth.com.cn查询理财产品相关信息）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A份额：Y80069</w:t>
            </w:r>
          </w:p>
          <w:p>
            <w:pPr>
              <w:pStyle w:val="null10"/>
              <w:spacing w:lineRule="exact" w:line="200"/>
            </w:pPr>
            <w:r>
              <w:rPr>
                <w:rFonts w:ascii="方正黑体_GBK" w:hAnsi="方正黑体_GBK" w:cs="宋体" w:eastAsia="方正黑体_GBK"/>
                <w:sz w:val="18"/>
                <w:szCs w:val="18"/>
              </w:rPr>
              <w:t>B份额：Y81069</w:t>
            </w:r>
          </w:p>
          <w:p>
            <w:pPr>
              <w:pStyle w:val="null10"/>
              <w:spacing w:lineRule="exact" w:line="200"/>
            </w:pPr>
            <w:r>
              <w:rPr>
                <w:rFonts w:ascii="方正黑体_GBK" w:hAnsi="方正黑体_GBK" w:cs="宋体" w:eastAsia="方正黑体_GBK"/>
                <w:sz w:val="18"/>
                <w:szCs w:val="18"/>
              </w:rPr>
              <w:t>C份额：Y82069</w:t>
            </w:r>
          </w:p>
          <w:p>
            <w:pPr>
              <w:pStyle w:val="null10"/>
              <w:spacing w:lineRule="exact" w:line="200"/>
            </w:pPr>
            <w:r>
              <w:rPr>
                <w:rFonts w:ascii="方正黑体_GBK" w:hAnsi="方正黑体_GBK" w:cs="宋体" w:eastAsia="方正黑体_GBK"/>
                <w:sz w:val="18"/>
                <w:szCs w:val="18"/>
              </w:rPr>
              <w:t>D份额：Y83069</w:t>
            </w:r>
          </w:p>
          <w:p>
            <w:pPr>
              <w:pStyle w:val="null10"/>
              <w:spacing w:lineRule="exact" w:line="200"/>
            </w:pPr>
            <w:r>
              <w:rPr>
                <w:rFonts w:ascii="方正黑体_GBK" w:hAnsi="方正黑体_GBK" w:cs="宋体" w:eastAsia="方正黑体_GBK"/>
                <w:sz w:val="18"/>
                <w:szCs w:val="18"/>
              </w:rPr>
              <w:t>E份额：Y84069</w:t>
            </w:r>
          </w:p>
          <w:p>
            <w:pPr>
              <w:pStyle w:val="null10"/>
              <w:spacing w:lineRule="exact" w:line="200"/>
            </w:pPr>
            <w:r>
              <w:rPr>
                <w:rFonts w:ascii="方正黑体_GBK" w:hAnsi="方正黑体_GBK" w:cs="宋体" w:eastAsia="方正黑体_GBK"/>
                <w:sz w:val="18"/>
                <w:szCs w:val="18"/>
              </w:rPr>
              <w:t>F份额：Y85069</w:t>
            </w:r>
          </w:p>
          <w:p>
            <w:pPr>
              <w:pStyle w:val="null10"/>
              <w:spacing w:lineRule="exact" w:line="200"/>
            </w:pPr>
            <w:r>
              <w:rPr>
                <w:rFonts w:ascii="方正黑体_GBK" w:hAnsi="方正黑体_GBK" w:cs="宋体" w:eastAsia="方正黑体_GBK"/>
                <w:sz w:val="18"/>
                <w:szCs w:val="18"/>
              </w:rPr>
              <w:t>G份额：Y86069</w:t>
            </w:r>
          </w:p>
          <w:p>
            <w:pPr>
              <w:pStyle w:val="null10"/>
              <w:spacing w:lineRule="exact" w:line="200"/>
            </w:pPr>
            <w:r>
              <w:rPr>
                <w:rFonts w:ascii="方正黑体_GBK" w:hAnsi="方正黑体_GBK" w:cs="宋体" w:eastAsia="方正黑体_GBK"/>
                <w:sz w:val="18"/>
                <w:szCs w:val="18"/>
              </w:rPr>
              <w:t>H份额：Y87069</w:t>
            </w:r>
          </w:p>
          <w:p>
            <w:pPr>
              <w:pStyle w:val="null10"/>
              <w:spacing w:lineRule="exact" w:line="200"/>
            </w:pPr>
            <w:r>
              <w:rPr>
                <w:rFonts w:ascii="方正黑体_GBK" w:hAnsi="方正黑体_GBK" w:cs="宋体" w:eastAsia="方正黑体_GBK"/>
                <w:sz w:val="18"/>
                <w:szCs w:val="18"/>
              </w:rPr>
              <w:t>I份额：Y88069</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A份额：除B、C、D、E、F、G、H、I份额以外的所有客户（详见“销售机构”条款）。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B份额：南京银行股份有限公司(新客或新资金（5万）或代发客户等 )、青岛银行股份有限公司;温州银行股份有限公司、汉口银行股份有限公司( 20万元起购)、浙江民泰商业银行股份有限公司、河北银行股份有限公司( 常规客户)、广州银行股份有限公司、苏州银行股份有限公司( 特邀客户)、日照银行股份有限公司( 普通客户)、宁波东海银行股份有限公司( 社保卡专项客户)、齐鲁银行股份有限公司( 白金/私行客户)、甘肃银行股份有限公司、台州银行股份有限公司( 普通客群)、天津农村商业银行股份有限公司( 零售客群)、桂林银行股份有限公司( 常规客户)、江苏淮安农村商业银行股份有限公司(银发客群)、江苏镇江农村商业银行股份有限公司(20万元起购)、江苏如皋农村商业银行股份有限公司( 代发客户)、江苏金湖农村商业银行股份有限公司( 收单商户专享)。</w:t>
            </w:r>
          </w:p>
          <w:p>
            <w:pPr>
              <w:pStyle w:val="null10"/>
              <w:spacing w:lineRule="exact" w:line="200"/>
            </w:pPr>
            <w:r>
              <w:rPr>
                <w:rFonts w:ascii="方正黑体_GBK" w:hAnsi="方正黑体_GBK" w:cs="宋体" w:eastAsia="方正黑体_GBK"/>
                <w:sz w:val="18"/>
                <w:szCs w:val="18"/>
              </w:rPr>
              <w:t>C份额：江苏江南农村商业银行股份有限公司(专项客群 )、郑州银行股份有限公司、苏州银行股份有限公司( 新资金客户)、日照银行股份有限公司(特邀客户 )、甘肃银行股份有限公司、台州银行股份有限公司( 特邀客群)、天津农村商业银行股份有限公司(专项客群)、山西银行股份有限公司( 新客专享)、兰州银行股份有限公司、桂林银行股份有限公司( 特供客户)、江苏泰兴农村商业银行股份有限公司、江苏靖江农村商业银行股份有限公司、江苏南通农村商业银行股份有限公司( 企业客户专享)、江苏兴化农村商业银行股份有限公司、江苏镇江农村商业银行股份有限公司( 100万元起购）、江苏紫金农村商业银行股份有限公司( 起购金额30万)、江苏金湖农村商业银行股份有限公司( 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w:t>
            </w:r>
          </w:p>
          <w:p>
            <w:pPr>
              <w:pStyle w:val="null10"/>
              <w:spacing w:lineRule="exact" w:line="200"/>
            </w:pPr>
            <w:r>
              <w:rPr>
                <w:rFonts w:ascii="方正黑体_GBK" w:hAnsi="方正黑体_GBK" w:cs="宋体" w:eastAsia="方正黑体_GBK"/>
                <w:sz w:val="18"/>
                <w:szCs w:val="18"/>
              </w:rPr>
              <w:t>E份额：南京银行股份有限公司特邀客户。</w:t>
            </w:r>
          </w:p>
          <w:p>
            <w:pPr>
              <w:pStyle w:val="null10"/>
              <w:spacing w:lineRule="exact" w:line="200"/>
            </w:pPr>
            <w:r>
              <w:rPr>
                <w:rFonts w:ascii="方正黑体_GBK" w:hAnsi="方正黑体_GBK" w:cs="宋体" w:eastAsia="方正黑体_GBK"/>
                <w:sz w:val="18"/>
                <w:szCs w:val="18"/>
              </w:rPr>
              <w:t>F份额：兴业银行股份有限公司（全体客户）。</w:t>
            </w:r>
          </w:p>
          <w:p>
            <w:pPr>
              <w:pStyle w:val="null10"/>
              <w:spacing w:lineRule="exact" w:line="200"/>
            </w:pPr>
            <w:r>
              <w:rPr>
                <w:rFonts w:ascii="方正黑体_GBK" w:hAnsi="方正黑体_GBK" w:cs="宋体" w:eastAsia="方正黑体_GBK"/>
                <w:sz w:val="18"/>
                <w:szCs w:val="18"/>
              </w:rPr>
              <w:t>G份额：兴业银行股份有限公司（新客户），指兴业银行认定的新客户，认定标准以兴业银行为准。</w:t>
            </w:r>
          </w:p>
          <w:p>
            <w:pPr>
              <w:pStyle w:val="null10"/>
              <w:spacing w:lineRule="exact" w:line="200"/>
            </w:pPr>
            <w:r>
              <w:rPr>
                <w:rFonts w:ascii="方正黑体_GBK" w:hAnsi="方正黑体_GBK" w:cs="宋体" w:eastAsia="方正黑体_GBK"/>
                <w:sz w:val="18"/>
                <w:szCs w:val="18"/>
              </w:rPr>
              <w:t>H份额：交通银行股份有限公司。</w:t>
            </w:r>
          </w:p>
          <w:p>
            <w:pPr>
              <w:pStyle w:val="null10"/>
              <w:spacing w:lineRule="exact" w:line="200"/>
            </w:pPr>
            <w:r>
              <w:rPr>
                <w:rFonts w:ascii="方正黑体_GBK" w:hAnsi="方正黑体_GBK" w:cs="宋体" w:eastAsia="方正黑体_GBK"/>
                <w:sz w:val="18"/>
                <w:szCs w:val="18"/>
              </w:rPr>
              <w:t>I份额：鑫福款，江苏省内农商行指定客户。</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南京银行股份有限公司新客或新资金（5万）或代发客户等</w:t>
            </w:r>
            <w:r>
              <w:rPr>
                <w:rFonts w:ascii="方正黑体_GBK" w:hAnsi="方正黑体_GBK" w:cs="宋体" w:eastAsia="方正黑体_GBK"/>
                <w:sz w:val="18"/>
                <w:szCs w:val="18"/>
              </w:rPr>
              <w:t>：新客是指2025年理财年日均余额为0的客户。新资金（5万）是指金融资产余额较上月月日均增长5万元及以上的客户。代发是指近90天内有过代发记录的客户（不含跨行代发、批量兑付、批量付息）。</w:t>
            </w:r>
          </w:p>
          <w:p>
            <w:pPr>
              <w:pStyle w:val="null10"/>
              <w:spacing w:lineRule="exact" w:line="200"/>
            </w:pPr>
            <w:r>
              <w:rPr>
                <w:rFonts w:ascii="方正黑体_GBK" w:hAnsi="方正黑体_GBK" w:cs="宋体" w:eastAsia="方正黑体_GBK"/>
                <w:sz w:val="18"/>
                <w:b/>
                <w:szCs w:val="18"/>
              </w:rPr>
              <w:t>南京银行股份有限公司特邀客户</w:t>
            </w:r>
            <w:r>
              <w:rPr>
                <w:rFonts w:ascii="方正黑体_GBK" w:hAnsi="方正黑体_GBK" w:cs="宋体" w:eastAsia="方正黑体_GBK"/>
                <w:sz w:val="18"/>
                <w:szCs w:val="18"/>
              </w:rPr>
              <w:t>：是指单笔金额100万起的特邀公司类客户。</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机构投资者投资起点金额100万元人民币，以1元的整数倍递增；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机构投资者：单个投资者持有金额上限3亿；</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2025年02月06日 09:00—2025年02月11日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2025年02月12日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2025年02月12日—实际到期日（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98天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2025年05月21日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A份额：业绩比较基准为2.35%(年化)。</w:t>
            </w:r>
          </w:p>
          <w:p>
            <w:pPr>
              <w:pStyle w:val="null10"/>
              <w:spacing w:lineRule="exact" w:line="200"/>
            </w:pPr>
            <w:r>
              <w:rPr>
                <w:rFonts w:ascii="方正黑体_GBK" w:hAnsi="方正黑体_GBK" w:cs="宋体" w:eastAsia="方正黑体_GBK"/>
                <w:sz w:val="18"/>
                <w:szCs w:val="18"/>
              </w:rPr>
              <w:t>B份额：业绩比较基准为2.45%(年化)。</w:t>
            </w:r>
          </w:p>
          <w:p>
            <w:pPr>
              <w:pStyle w:val="null10"/>
              <w:spacing w:lineRule="exact" w:line="200"/>
            </w:pPr>
            <w:r>
              <w:rPr>
                <w:rFonts w:ascii="方正黑体_GBK" w:hAnsi="方正黑体_GBK" w:cs="宋体" w:eastAsia="方正黑体_GBK"/>
                <w:sz w:val="18"/>
                <w:szCs w:val="18"/>
              </w:rPr>
              <w:t>C份额：业绩比较基准为2.55%(年化)。</w:t>
            </w:r>
          </w:p>
          <w:p>
            <w:pPr>
              <w:pStyle w:val="null10"/>
              <w:spacing w:lineRule="exact" w:line="200"/>
            </w:pPr>
            <w:r>
              <w:rPr>
                <w:rFonts w:ascii="方正黑体_GBK" w:hAnsi="方正黑体_GBK" w:cs="宋体" w:eastAsia="方正黑体_GBK"/>
                <w:sz w:val="18"/>
                <w:szCs w:val="18"/>
              </w:rPr>
              <w:t>D份额：业绩比较基准为2.6%(年化)。</w:t>
            </w:r>
          </w:p>
          <w:p>
            <w:pPr>
              <w:pStyle w:val="null10"/>
              <w:spacing w:lineRule="exact" w:line="200"/>
            </w:pPr>
            <w:r>
              <w:rPr>
                <w:rFonts w:ascii="方正黑体_GBK" w:hAnsi="方正黑体_GBK" w:cs="宋体" w:eastAsia="方正黑体_GBK"/>
                <w:sz w:val="18"/>
                <w:szCs w:val="18"/>
              </w:rPr>
              <w:t>E份额：业绩比较基准为2.65%(年化)。</w:t>
            </w:r>
          </w:p>
          <w:p>
            <w:pPr>
              <w:pStyle w:val="null10"/>
              <w:spacing w:lineRule="exact" w:line="200"/>
            </w:pPr>
            <w:r>
              <w:rPr>
                <w:rFonts w:ascii="方正黑体_GBK" w:hAnsi="方正黑体_GBK" w:cs="宋体" w:eastAsia="方正黑体_GBK"/>
                <w:sz w:val="18"/>
                <w:szCs w:val="18"/>
              </w:rPr>
              <w:t>F份额：业绩比较基准为2.47%(年化)。</w:t>
            </w:r>
          </w:p>
          <w:p>
            <w:pPr>
              <w:pStyle w:val="null10"/>
              <w:spacing w:lineRule="exact" w:line="200"/>
            </w:pPr>
            <w:r>
              <w:rPr>
                <w:rFonts w:ascii="方正黑体_GBK" w:hAnsi="方正黑体_GBK" w:cs="宋体" w:eastAsia="方正黑体_GBK"/>
                <w:sz w:val="18"/>
                <w:szCs w:val="18"/>
              </w:rPr>
              <w:t>G份额：业绩比较基准为2.52%(年化)。</w:t>
            </w:r>
          </w:p>
          <w:p>
            <w:pPr>
              <w:pStyle w:val="null10"/>
              <w:spacing w:lineRule="exact" w:line="200"/>
            </w:pPr>
            <w:r>
              <w:rPr>
                <w:rFonts w:ascii="方正黑体_GBK" w:hAnsi="方正黑体_GBK" w:cs="宋体" w:eastAsia="方正黑体_GBK"/>
                <w:sz w:val="18"/>
                <w:szCs w:val="18"/>
              </w:rPr>
              <w:t>H份额：业绩比较基准为2.37%(年化)。</w:t>
            </w:r>
          </w:p>
          <w:p>
            <w:pPr>
              <w:pStyle w:val="null10"/>
              <w:spacing w:lineRule="exact" w:line="200"/>
            </w:pPr>
            <w:r>
              <w:rPr>
                <w:rFonts w:ascii="方正黑体_GBK" w:hAnsi="方正黑体_GBK" w:cs="宋体" w:eastAsia="方正黑体_GBK"/>
                <w:sz w:val="18"/>
                <w:szCs w:val="18"/>
              </w:rPr>
              <w:t>I份额：业绩比较基准为2.47%(年化)。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E份额：销售费年化0%</w:t>
            </w:r>
          </w:p>
          <w:p>
            <w:pPr>
              <w:pStyle w:val="null10"/>
              <w:spacing w:lineRule="exact" w:line="200"/>
            </w:pPr>
            <w:r>
              <w:rPr>
                <w:rFonts w:ascii="方正黑体_GBK" w:hAnsi="方正黑体_GBK" w:cs="宋体" w:eastAsia="方正黑体_GBK"/>
                <w:sz w:val="18"/>
                <w:b/>
                <w:szCs w:val="18"/>
              </w:rPr>
              <w:t>F份额：销售费年化0.1%</w:t>
            </w:r>
          </w:p>
          <w:p>
            <w:pPr>
              <w:pStyle w:val="null10"/>
              <w:spacing w:lineRule="exact" w:line="200"/>
            </w:pPr>
            <w:r>
              <w:rPr>
                <w:rFonts w:ascii="方正黑体_GBK" w:hAnsi="方正黑体_GBK" w:cs="宋体" w:eastAsia="方正黑体_GBK"/>
                <w:sz w:val="18"/>
                <w:b/>
                <w:szCs w:val="18"/>
              </w:rPr>
              <w:t>G份额：销售费年化0.05%</w:t>
            </w:r>
          </w:p>
          <w:p>
            <w:pPr>
              <w:pStyle w:val="null10"/>
              <w:spacing w:lineRule="exact" w:line="200"/>
            </w:pPr>
            <w:r>
              <w:rPr>
                <w:rFonts w:ascii="方正黑体_GBK" w:hAnsi="方正黑体_GBK" w:cs="宋体" w:eastAsia="方正黑体_GBK"/>
                <w:sz w:val="18"/>
                <w:b/>
                <w:szCs w:val="18"/>
              </w:rPr>
              <w:t>H份额：销售费年化0.2%</w:t>
            </w:r>
          </w:p>
          <w:p>
            <w:pPr>
              <w:pStyle w:val="null10"/>
              <w:spacing w:lineRule="exact" w:line="200"/>
            </w:pPr>
            <w:r>
              <w:rPr>
                <w:rFonts w:ascii="方正黑体_GBK" w:hAnsi="方正黑体_GBK" w:cs="宋体" w:eastAsia="方正黑体_GBK"/>
                <w:sz w:val="18"/>
                <w:b/>
                <w:szCs w:val="18"/>
              </w:rPr>
              <w:t>I份额：销售费年化0.1%</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A份额：固定管理费年化0.15%</w:t>
            </w:r>
          </w:p>
          <w:p>
            <w:pPr>
              <w:pStyle w:val="null10"/>
              <w:spacing w:lineRule="exact" w:line="200"/>
            </w:pPr>
            <w:r>
              <w:rPr>
                <w:rFonts w:ascii="方正黑体_GBK" w:hAnsi="方正黑体_GBK" w:cs="宋体" w:eastAsia="方正黑体_GBK"/>
                <w:sz w:val="18"/>
                <w:b/>
                <w:szCs w:val="18"/>
              </w:rPr>
              <w:t>B份额：固定管理费年化0.1%</w:t>
            </w:r>
          </w:p>
          <w:p>
            <w:pPr>
              <w:pStyle w:val="null10"/>
              <w:spacing w:lineRule="exact" w:line="200"/>
            </w:pPr>
            <w:r>
              <w:rPr>
                <w:rFonts w:ascii="方正黑体_GBK" w:hAnsi="方正黑体_GBK" w:cs="宋体" w:eastAsia="方正黑体_GBK"/>
                <w:sz w:val="18"/>
                <w:b/>
                <w:szCs w:val="18"/>
              </w:rPr>
              <w:t>C份额：固定管理费年化0.1%</w:t>
            </w:r>
          </w:p>
          <w:p>
            <w:pPr>
              <w:pStyle w:val="null10"/>
              <w:spacing w:lineRule="exact" w:line="200"/>
            </w:pPr>
            <w:r>
              <w:rPr>
                <w:rFonts w:ascii="方正黑体_GBK" w:hAnsi="方正黑体_GBK" w:cs="宋体" w:eastAsia="方正黑体_GBK"/>
                <w:sz w:val="18"/>
                <w:b/>
                <w:szCs w:val="18"/>
              </w:rPr>
              <w:t>D份额：固定管理费年化0.1%</w:t>
            </w:r>
          </w:p>
          <w:p>
            <w:pPr>
              <w:pStyle w:val="null10"/>
              <w:spacing w:lineRule="exact" w:line="200"/>
            </w:pPr>
            <w:r>
              <w:rPr>
                <w:rFonts w:ascii="方正黑体_GBK" w:hAnsi="方正黑体_GBK" w:cs="宋体" w:eastAsia="方正黑体_GBK"/>
                <w:sz w:val="18"/>
                <w:b/>
                <w:szCs w:val="18"/>
              </w:rPr>
              <w:t>E份额：固定管理费年化0.05%</w:t>
            </w:r>
          </w:p>
          <w:p>
            <w:pPr>
              <w:pStyle w:val="null10"/>
              <w:spacing w:lineRule="exact" w:line="200"/>
            </w:pPr>
            <w:r>
              <w:rPr>
                <w:rFonts w:ascii="方正黑体_GBK" w:hAnsi="方正黑体_GBK" w:cs="宋体" w:eastAsia="方正黑体_GBK"/>
                <w:sz w:val="18"/>
                <w:b/>
                <w:szCs w:val="18"/>
              </w:rPr>
              <w:t>F份额：固定管理费年化0.13%</w:t>
            </w:r>
          </w:p>
          <w:p>
            <w:pPr>
              <w:pStyle w:val="null10"/>
              <w:spacing w:lineRule="exact" w:line="200"/>
            </w:pPr>
            <w:r>
              <w:rPr>
                <w:rFonts w:ascii="方正黑体_GBK" w:hAnsi="方正黑体_GBK" w:cs="宋体" w:eastAsia="方正黑体_GBK"/>
                <w:sz w:val="18"/>
                <w:b/>
                <w:szCs w:val="18"/>
              </w:rPr>
              <w:t>G份额：固定管理费年化0.13%</w:t>
            </w:r>
          </w:p>
          <w:p>
            <w:pPr>
              <w:pStyle w:val="null10"/>
              <w:spacing w:lineRule="exact" w:line="200"/>
            </w:pPr>
            <w:r>
              <w:rPr>
                <w:rFonts w:ascii="方正黑体_GBK" w:hAnsi="方正黑体_GBK" w:cs="宋体" w:eastAsia="方正黑体_GBK"/>
                <w:sz w:val="18"/>
                <w:b/>
                <w:szCs w:val="18"/>
              </w:rPr>
              <w:t>H份额：固定管理费年化0.13%</w:t>
            </w:r>
          </w:p>
          <w:p>
            <w:pPr>
              <w:pStyle w:val="null10"/>
              <w:spacing w:lineRule="exact" w:line="200"/>
            </w:pPr>
            <w:r>
              <w:rPr>
                <w:rFonts w:ascii="方正黑体_GBK" w:hAnsi="方正黑体_GBK" w:cs="宋体" w:eastAsia="方正黑体_GBK"/>
                <w:sz w:val="18"/>
                <w:b/>
                <w:szCs w:val="18"/>
              </w:rPr>
              <w:t>I份额：固定管理费年化0.13%</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A份额：到期兑付时，当期产品投资的实际资产组合收益（扣除销售费、固定管理费、托管费等相关费用）超过2.35%（年化，即产品该份额对应的业绩报酬计提基准）时，超过部分管理人将按60%收取业绩报酬。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B份额：到期兑付时，当期产品投资的实际资产组合收益（扣除销售费、固定管理费、托管费等相关费用）超过2.45%（年化，即产品该份额对应的业绩报酬计提基准）时，超过部分管理人将按60%收取业绩报酬。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C份额：到期兑付时，当期产品投资的实际资产组合收益（扣除销售费、固定管理费、托管费等相关费用）超过2.55%（年化，即产品该份额对应的业绩报酬计提基准）时，超过部分管理人将按60%收取业绩报酬。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F份额：到期兑付时，当期产品投资的实际资产组合收益（扣除销售费、固定管理费、托管费等相关费用）超过2.47%（年化，即产品该份额对应的业绩报酬计提基准）时，超过部分管理人将按60%收取业绩报酬。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G份额：到期兑付时，当期产品投资的实际资产组合收益（扣除销售费、固定管理费、托管费等相关费用）超过2.52%（年化，即产品该份额对应的业绩报酬计提基准）时，超过部分管理人将按60%收取业绩报酬。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H份额：到期兑付时，当期产品投资的实际资产组合收益（扣除销售费、固定管理费、托管费等相关费用）超过2.37%（年化，即产品该份额对应的业绩报酬计提基准）时，超过部分管理人将按60%收取业绩报酬。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I份额：到期兑付时，当期产品投资的实际资产组合收益（扣除销售费、固定管理费、托管费等相关费用）超过2.47%（年化，即产品该份额对应的业绩报酬计提基准）时，超过部分管理人将按60%收取业绩报酬。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福建海峡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浙江民泰商业银行股份有限公司、江苏仪征农村商业银行股份有限公司、金华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c6871d61"/>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363809a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363809a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363809a7"/>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363809a7"/>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363809a7"/>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363809a7"/>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363809a7"/>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363809a7"/>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南银理财珠联璧合鑫逸稳三个月69期封闭式公募人民币理财产品</w:t>
      </w:r>
      <w:r>
        <w:rPr>
          <w:rFonts w:ascii="方正黑体_GBK" w:eastAsia="方正黑体_GBK" w:hint="eastAsia" w:hAnsi="方正黑体_GBK"/>
          <w:vanish w:val="0"/>
          <w:color w:val="3D3D3D"/>
          <w:kern w:val="0"/>
          <w:sz w:val="15"/>
          <w:szCs w:val="15"/>
        </w:rPr>
        <w:t>。</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363809a7"/>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363809a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363809a7"/>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363809a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5d89ae6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363809a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363809a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363809a7"/>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5d89ae6c"/>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c6871d61"/>
        <w:keepNext w:val="0"/>
        <w:keepLines w:val="0"/>
        <w:pageBreakBefore w:val="0"/>
        <w:widowControl/>
        <w:suppressLineNumbers w:val="0"/>
        <w:suppressAutoHyphens w:val="0"/>
        <w:spacing w:line="200" w:lineRule="exact"/>
        <w:ind w:firstLineChars="200" w:firstLine="300"/>
        <w:rPr>
          <w:rStyle w:val="5d89ae6c"/>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c6871d61"/>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c6871d61"/>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c6871d61"/>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c6871d6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c6871d6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c6871d61"/>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c6871d61"/>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c6871d61"/>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2"/>
  </w:num>
  <w:num w:numId="3">
    <w:abstractNumId w:val="1"/>
  </w:num>
  <w:num w:numId="4">
    <w:abstractNumId w:val="4"/>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6113cb96">
    <w:name w:val="Normal6113cb96"/>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24fb635e">
    <w:name w:val="heading 124fb635e"/>
    <w:basedOn w:val="6113cb96"/>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5b3839ed">
    <w:name w:val="heading 25b3839ed"/>
    <w:basedOn w:val="6113cb96"/>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ae31eca">
    <w:name w:val="heading 33ae31eca"/>
    <w:basedOn w:val="6113cb96"/>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61d7f4b3">
    <w:name w:val="Default Paragraph Font61d7f4b3"/>
  </w:style>
  <w:style xmlns:r="http://schemas.openxmlformats.org/officeDocument/2006/relationships" w:type="paragraph" w:styleId="14f51a66">
    <w:name w:val="toc 114f51a66"/>
    <w:basedOn w:val="6113cb96"/>
    <w:autoRedefine/>
    <w:next w:val="0"/>
  </w:style>
  <w:style xmlns:r="http://schemas.openxmlformats.org/officeDocument/2006/relationships" w:type="paragraph" w:styleId="09ba171c">
    <w:name w:val="toc 209ba171c"/>
    <w:basedOn w:val="6113cb96"/>
    <w:autoRedefine/>
    <w:next w:val="0"/>
    <w:pPr>
      <w:ind w:left="420"/>
    </w:pPr>
  </w:style>
  <w:style xmlns:r="http://schemas.openxmlformats.org/officeDocument/2006/relationships" w:type="paragraph" w:styleId="d911af4e">
    <w:name w:val="toc 3d911af4e"/>
    <w:basedOn w:val="6113cb96"/>
    <w:autoRedefine/>
    <w:next w:val="0"/>
    <w:pPr>
      <w:ind w:left="840"/>
    </w:pPr>
  </w:style>
  <w:style xmlns:r="http://schemas.openxmlformats.org/officeDocument/2006/relationships" w:type="paragraph" w:styleId="1ec147e5">
    <w:name w:val="toc 41ec147e5"/>
    <w:basedOn w:val="6113cb96"/>
    <w:autoRedefine/>
    <w:next w:val="0"/>
    <w:pPr>
      <w:ind w:left="1260"/>
    </w:pPr>
  </w:style>
  <w:style xmlns:r="http://schemas.openxmlformats.org/officeDocument/2006/relationships" w:type="paragraph" w:styleId="aa9cbd29">
    <w:name w:val="toc 5aa9cbd29"/>
    <w:basedOn w:val="6113cb96"/>
    <w:autoRedefine/>
    <w:next w:val="0"/>
    <w:pPr>
      <w:ind w:left="1680"/>
    </w:pPr>
  </w:style>
  <w:style xmlns:r="http://schemas.openxmlformats.org/officeDocument/2006/relationships" w:type="paragraph" w:styleId="e6563c92">
    <w:name w:val="headere6563c92"/>
    <w:basedOn w:val="6113cb96"/>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c1c383b0">
    <w:name w:val="footerc1c383b0"/>
    <w:basedOn w:val="6113cb96"/>
    <w:pPr>
      <w:tabs>
        <w:tab w:val="center" w:pos="4153"/>
        <w:tab w:val="right" w:pos="8307"/>
      </w:tabs>
      <w:adjustRightInd/>
      <w:snapToGrid w:val="0"/>
      <w:contextualSpacing w:val="0"/>
      <w:jc w:val="left"/>
    </w:pPr>
    <w:rPr>
      <w:sz w:val="18"/>
    </w:rPr>
  </w:style>
  <w:style xmlns:r="http://schemas.openxmlformats.org/officeDocument/2006/relationships" w:type="character" w:styleId="76774c8e">
    <w:name w:val="Strong76774c8e"/>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c6871d61">
    <w:name w:val="Normalc6871d61"/>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5d35764c">
    <w:name w:val="heading 15d35764c"/>
    <w:basedOn w:val="c6871d61"/>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8634d56e">
    <w:name w:val="heading 28634d56e"/>
    <w:basedOn w:val="c6871d61"/>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9e3e66e">
    <w:name w:val="heading 339e3e66e"/>
    <w:basedOn w:val="c6871d61"/>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0536415">
    <w:name w:val="Default Paragraph Fontd0536415"/>
  </w:style>
  <w:style xmlns:r="http://schemas.openxmlformats.org/officeDocument/2006/relationships" w:type="paragraph" w:styleId="18c43310">
    <w:name w:val="Normal Indent18c43310"/>
    <w:basedOn w:val="c6871d61"/>
    <w:pPr>
      <w:ind w:firstLineChars="200" w:firstLine="200"/>
    </w:pPr>
  </w:style>
  <w:style xmlns:r="http://schemas.openxmlformats.org/officeDocument/2006/relationships" w:type="paragraph" w:styleId="98c0cd14">
    <w:name w:val="toc 598c0cd14"/>
    <w:basedOn w:val="c6871d61"/>
    <w:next w:val="0"/>
    <w:pPr>
      <w:ind w:left="1680"/>
    </w:pPr>
  </w:style>
  <w:style xmlns:r="http://schemas.openxmlformats.org/officeDocument/2006/relationships" w:type="paragraph" w:styleId="33aabddb">
    <w:name w:val="toc 333aabddb"/>
    <w:basedOn w:val="c6871d61"/>
    <w:next w:val="0"/>
    <w:pPr>
      <w:ind w:left="840"/>
    </w:pPr>
  </w:style>
  <w:style xmlns:r="http://schemas.openxmlformats.org/officeDocument/2006/relationships" w:type="paragraph" w:styleId="c57c847c">
    <w:name w:val="footerc57c847c"/>
    <w:basedOn w:val="c6871d61"/>
    <w:pPr>
      <w:tabs>
        <w:tab w:val="center" w:pos="4153"/>
        <w:tab w:val="right" w:pos="8307"/>
      </w:tabs>
      <w:adjustRightInd/>
      <w:snapToGrid w:val="0"/>
      <w:contextualSpacing w:val="0"/>
      <w:jc w:val="left"/>
    </w:pPr>
    <w:rPr>
      <w:sz w:val="18"/>
    </w:rPr>
  </w:style>
  <w:style xmlns:r="http://schemas.openxmlformats.org/officeDocument/2006/relationships" w:type="paragraph" w:styleId="ad6d4508">
    <w:name w:val="headerad6d4508"/>
    <w:basedOn w:val="c6871d61"/>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a0346827">
    <w:name w:val="toc 1a0346827"/>
    <w:basedOn w:val="c6871d61"/>
    <w:next w:val="0"/>
  </w:style>
  <w:style xmlns:r="http://schemas.openxmlformats.org/officeDocument/2006/relationships" w:type="paragraph" w:styleId="cdd8d648">
    <w:name w:val="toc 4cdd8d648"/>
    <w:basedOn w:val="c6871d61"/>
    <w:next w:val="0"/>
    <w:pPr>
      <w:ind w:left="1260"/>
    </w:pPr>
  </w:style>
  <w:style xmlns:r="http://schemas.openxmlformats.org/officeDocument/2006/relationships" w:type="paragraph" w:styleId="241970d3">
    <w:name w:val="toc 2241970d3"/>
    <w:basedOn w:val="c6871d61"/>
    <w:next w:val="0"/>
    <w:pPr>
      <w:ind w:left="420"/>
    </w:pPr>
  </w:style>
  <w:style xmlns:r="http://schemas.openxmlformats.org/officeDocument/2006/relationships" w:type="paragraph" w:styleId="e9396efd">
    <w:name w:val="Normal (Web)e9396efd"/>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363809a7">
    <w:name w:val="Normal363809a7363809a7"/>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0932fbbf">
    <w:name w:val="heading 10932fbbf0932fbbf"/>
    <w:basedOn w:val="363809a7"/>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1ae9d6f1">
    <w:name w:val="heading 21ae9d6f11ae9d6f1"/>
    <w:basedOn w:val="363809a7"/>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f811abbf">
    <w:name w:val="heading 3f811abbff811abbf"/>
    <w:basedOn w:val="363809a7"/>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742dabda">
    <w:name w:val="Default Paragraph Font742dabda742dabda"/>
  </w:style>
  <w:style xmlns:r="http://schemas.openxmlformats.org/officeDocument/2006/relationships" w:type="paragraph" w:customStyle="1" w:styleId="bacbb61c">
    <w:name w:val="引文目录1bacbb61cbacbb61c"/>
    <w:basedOn w:val="363809a7"/>
    <w:next w:val="0"/>
    <w:pPr>
      <w:ind w:leftChars="200" w:left="200"/>
    </w:pPr>
  </w:style>
  <w:style xmlns:r="http://schemas.openxmlformats.org/officeDocument/2006/relationships" w:type="paragraph" w:styleId="cd1dde22">
    <w:name w:val="toc 5cd1dde22cd1dde22"/>
    <w:basedOn w:val="363809a7"/>
    <w:next w:val="0"/>
    <w:pPr>
      <w:ind w:left="1680"/>
    </w:pPr>
  </w:style>
  <w:style xmlns:r="http://schemas.openxmlformats.org/officeDocument/2006/relationships" w:type="paragraph" w:styleId="9429c4ea">
    <w:name w:val="toc 39429c4ea9429c4ea"/>
    <w:basedOn w:val="363809a7"/>
    <w:next w:val="0"/>
    <w:pPr>
      <w:ind w:left="840"/>
    </w:pPr>
  </w:style>
  <w:style xmlns:r="http://schemas.openxmlformats.org/officeDocument/2006/relationships" w:type="paragraph" w:styleId="d243e571">
    <w:name w:val="footerd243e571d243e571"/>
    <w:basedOn w:val="363809a7"/>
    <w:pPr>
      <w:tabs>
        <w:tab w:val="center" w:pos="4153"/>
        <w:tab w:val="right" w:pos="8307"/>
      </w:tabs>
      <w:adjustRightInd/>
      <w:snapToGrid w:val="0"/>
      <w:contextualSpacing w:val="0"/>
      <w:jc w:val="left"/>
    </w:pPr>
    <w:rPr>
      <w:sz w:val="18"/>
    </w:rPr>
  </w:style>
  <w:style xmlns:r="http://schemas.openxmlformats.org/officeDocument/2006/relationships" w:type="paragraph" w:styleId="9a985d2f">
    <w:name w:val="header9a985d2f9a985d2f"/>
    <w:basedOn w:val="363809a7"/>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f3f6df7a">
    <w:name w:val="toc 1f3f6df7af3f6df7a"/>
    <w:basedOn w:val="363809a7"/>
    <w:next w:val="0"/>
  </w:style>
  <w:style xmlns:r="http://schemas.openxmlformats.org/officeDocument/2006/relationships" w:type="paragraph" w:styleId="e606d7ea">
    <w:name w:val="toc 4e606d7eae606d7ea"/>
    <w:basedOn w:val="363809a7"/>
    <w:next w:val="0"/>
    <w:pPr>
      <w:ind w:left="1260"/>
    </w:pPr>
  </w:style>
  <w:style xmlns:r="http://schemas.openxmlformats.org/officeDocument/2006/relationships" w:type="paragraph" w:styleId="e656844f">
    <w:name w:val="toc 2e656844fe656844f"/>
    <w:basedOn w:val="363809a7"/>
    <w:next w:val="0"/>
    <w:pPr>
      <w:ind w:left="420"/>
    </w:pPr>
  </w:style>
  <w:style xmlns:r="http://schemas.openxmlformats.org/officeDocument/2006/relationships" w:type="paragraph" w:customStyle="1" w:styleId="5d89ae6c">
    <w:name w:val="列出段落15d89ae6c5d89ae6c"/>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